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5ABBEF85" w14:textId="1546F632" w:rsidR="00DC65C3" w:rsidRDefault="00F35BE2" w:rsidP="00F94302">
      <w:pPr>
        <w:pStyle w:val="Heading1"/>
        <w:spacing w:before="0"/>
      </w:pPr>
      <w:r>
        <w:t>High-Dosage Tutoring</w:t>
      </w:r>
    </w:p>
    <w:p w14:paraId="77E09579" w14:textId="313ABC8D" w:rsidR="00DC65C3" w:rsidRPr="00211CEA" w:rsidRDefault="007221C5" w:rsidP="00142CCA">
      <w:pPr>
        <w:spacing w:after="360"/>
        <w:rPr>
          <w:i/>
          <w:iCs/>
          <w:color w:val="595959" w:themeColor="text1" w:themeTint="A6"/>
          <w:sz w:val="28"/>
          <w:szCs w:val="24"/>
        </w:rPr>
      </w:pPr>
      <w:r w:rsidRPr="00211CEA">
        <w:rPr>
          <w:i/>
          <w:iCs/>
          <w:color w:val="595959" w:themeColor="text1" w:themeTint="A6"/>
          <w:sz w:val="28"/>
          <w:szCs w:val="24"/>
        </w:rPr>
        <w:t>Strategy Guide 2.1</w:t>
      </w:r>
    </w:p>
    <w:p w14:paraId="1105B09F" w14:textId="6679EE75" w:rsidR="00271BD6" w:rsidRPr="00194D04" w:rsidRDefault="001A6CE0" w:rsidP="00194D04">
      <w:pPr>
        <w:pStyle w:val="Heading2"/>
      </w:pPr>
      <w:r>
        <w:t>Strategy Vision and Description</w:t>
      </w:r>
      <w:r w:rsidR="00872858">
        <w:t xml:space="preserve"> </w:t>
      </w:r>
    </w:p>
    <w:p w14:paraId="302F6D5E" w14:textId="77777777" w:rsidR="00970F81" w:rsidRPr="00970F81" w:rsidRDefault="00970F81" w:rsidP="00970F81">
      <w:r w:rsidRPr="00970F81">
        <w:t>In this guide, we define High Dosage Tutoring as human instruction aimed at supplementing classroom-based education for groups of no more than six students that meet three or more days per week. This definition does not include computer-based supplemental instruction, small group instruction that replaces grade level instruction, or assisting students with completing class assignments or homework.</w:t>
      </w:r>
    </w:p>
    <w:p w14:paraId="26836CC7" w14:textId="77777777" w:rsidR="00970F81" w:rsidRPr="00970F81" w:rsidRDefault="00970F81" w:rsidP="00970F81">
      <w:r w:rsidRPr="00970F81">
        <w:t>Research has shown that the following components support the effectiveness of high dosage tutoring. It is important to note that while there is evidence to demonstrate the effectiveness of each component (see research following each component), these components are most effective when implemented together. The following components are derived from various articles and research that articulate what High Dosage Tutoring should include:</w:t>
      </w:r>
    </w:p>
    <w:p w14:paraId="1AF0E447" w14:textId="77777777" w:rsidR="00970F81" w:rsidRPr="00970F81" w:rsidRDefault="00970F81" w:rsidP="00970F81">
      <w:pPr>
        <w:pStyle w:val="ListParagraph"/>
        <w:numPr>
          <w:ilvl w:val="0"/>
          <w:numId w:val="6"/>
        </w:numPr>
        <w:rPr>
          <w:b/>
          <w:bCs/>
        </w:rPr>
      </w:pPr>
      <w:r w:rsidRPr="00970F81">
        <w:rPr>
          <w:b/>
          <w:bCs/>
        </w:rPr>
        <w:t>Tutoring Plan Vision and Infrastructure</w:t>
      </w:r>
    </w:p>
    <w:p w14:paraId="1E5DAD04" w14:textId="53DD6841" w:rsidR="0060667E" w:rsidRPr="00970F81" w:rsidRDefault="00970F81" w:rsidP="00970F81">
      <w:pPr>
        <w:pStyle w:val="ListParagraph"/>
        <w:numPr>
          <w:ilvl w:val="0"/>
          <w:numId w:val="6"/>
        </w:numPr>
        <w:rPr>
          <w:b/>
          <w:bCs/>
        </w:rPr>
      </w:pPr>
      <w:r w:rsidRPr="00970F81">
        <w:rPr>
          <w:b/>
          <w:bCs/>
        </w:rPr>
        <w:t>Implementation of Aligned and Data-Driven Instruction</w:t>
      </w:r>
    </w:p>
    <w:p w14:paraId="7BE36982" w14:textId="23424668" w:rsidR="0060667E" w:rsidRDefault="001A6CE0" w:rsidP="0060667E">
      <w:pPr>
        <w:pStyle w:val="Heading2"/>
      </w:pPr>
      <w:r>
        <w:t>Evidence Base</w:t>
      </w:r>
    </w:p>
    <w:p w14:paraId="205E80A4" w14:textId="272E5B65" w:rsidR="007A2A3C" w:rsidRDefault="007A2A3C" w:rsidP="007A2A3C">
      <w:r>
        <w:t>ESSA defines levels of research based on the quality of the study (Levels 1-4).  CDE requires that schools and districts identify the research base for strategies that they select for their Unified Improvement Plans, and for applications for school improvement funds in the EASI application.</w:t>
      </w:r>
    </w:p>
    <w:p w14:paraId="132A1430" w14:textId="2435F2FE" w:rsidR="007A2A3C" w:rsidRDefault="007A2A3C" w:rsidP="007A2A3C">
      <w:r>
        <w:t xml:space="preserve">The research on </w:t>
      </w:r>
      <w:r w:rsidR="00071C18">
        <w:rPr>
          <w:b/>
          <w:bCs/>
        </w:rPr>
        <w:t>High-Dosage Tutoring</w:t>
      </w:r>
      <w:r>
        <w:t xml:space="preserve"> that is cited here meets the threshold for </w:t>
      </w:r>
      <w:r w:rsidRPr="007A2A3C">
        <w:rPr>
          <w:b/>
          <w:bCs/>
        </w:rPr>
        <w:t>ESSA Level 1-3</w:t>
      </w:r>
      <w:r>
        <w:t>.</w:t>
      </w:r>
    </w:p>
    <w:p w14:paraId="6FB317CC" w14:textId="7A1B4F77" w:rsidR="007A2A3C" w:rsidRDefault="007A2A3C" w:rsidP="007A2A3C">
      <w:pPr>
        <w:pStyle w:val="Heading2"/>
      </w:pPr>
      <w:r>
        <w:t>Necessary Preconditions</w:t>
      </w:r>
    </w:p>
    <w:p w14:paraId="63307AD0" w14:textId="41377A19" w:rsidR="007A2A3C" w:rsidRDefault="007A2A3C" w:rsidP="007A2A3C">
      <w:r>
        <w:t xml:space="preserve">The following </w:t>
      </w:r>
      <w:r w:rsidR="00D93BCF" w:rsidRPr="00D93BCF">
        <w:t>systems, structures, or practices should be established at the site before implementing this strategy, as they serve as a foundation for the practices described in this guide.</w:t>
      </w:r>
    </w:p>
    <w:p w14:paraId="7954EF90" w14:textId="77777777" w:rsidR="008E00EB" w:rsidRPr="00E4375F" w:rsidRDefault="008E00EB" w:rsidP="008E00EB">
      <w:pPr>
        <w:numPr>
          <w:ilvl w:val="0"/>
          <w:numId w:val="2"/>
        </w:numPr>
        <w:spacing w:after="0" w:line="259" w:lineRule="auto"/>
        <w:ind w:right="0"/>
        <w:textAlignment w:val="baseline"/>
        <w:rPr>
          <w:rFonts w:eastAsia="Times New Roman" w:cs="Calibri"/>
        </w:rPr>
      </w:pPr>
      <w:r w:rsidRPr="00E4375F">
        <w:rPr>
          <w:rFonts w:eastAsia="Times New Roman" w:cs="Calibri"/>
        </w:rPr>
        <w:t>Foundational Practice: Data Analysis, Instructional Leadership Team</w:t>
      </w:r>
    </w:p>
    <w:p w14:paraId="4A7756A8" w14:textId="77777777" w:rsidR="008E00EB" w:rsidRPr="00E4375F" w:rsidRDefault="008E00EB" w:rsidP="008E00EB">
      <w:pPr>
        <w:numPr>
          <w:ilvl w:val="0"/>
          <w:numId w:val="2"/>
        </w:numPr>
        <w:spacing w:after="0" w:line="259" w:lineRule="auto"/>
        <w:ind w:right="0"/>
        <w:textAlignment w:val="baseline"/>
        <w:rPr>
          <w:rFonts w:eastAsia="Times New Roman" w:cs="Calibri"/>
        </w:rPr>
      </w:pPr>
      <w:r w:rsidRPr="00E4375F">
        <w:rPr>
          <w:rFonts w:eastAsia="Times New Roman" w:cs="Calibri"/>
        </w:rPr>
        <w:t>Foundational System: Standards-Based Instruction, Professional Learning</w:t>
      </w:r>
    </w:p>
    <w:p w14:paraId="4792E45B" w14:textId="4C384D41" w:rsidR="00D93BCF" w:rsidRPr="008E00EB" w:rsidRDefault="008E00EB" w:rsidP="008E00EB">
      <w:pPr>
        <w:numPr>
          <w:ilvl w:val="0"/>
          <w:numId w:val="2"/>
        </w:numPr>
        <w:spacing w:after="0" w:line="259" w:lineRule="auto"/>
        <w:ind w:right="0"/>
        <w:textAlignment w:val="baseline"/>
        <w:rPr>
          <w:rFonts w:eastAsia="Times New Roman" w:cs="Calibri"/>
        </w:rPr>
      </w:pPr>
      <w:r w:rsidRPr="00E4375F">
        <w:rPr>
          <w:rFonts w:eastAsia="Times New Roman" w:cs="Calibri"/>
        </w:rPr>
        <w:t>Foundational Strateg</w:t>
      </w:r>
      <w:r>
        <w:rPr>
          <w:rFonts w:eastAsia="Times New Roman" w:cs="Calibri"/>
        </w:rPr>
        <w:t>ies</w:t>
      </w:r>
      <w:r w:rsidRPr="00E4375F">
        <w:rPr>
          <w:rFonts w:eastAsia="Times New Roman" w:cs="Calibri"/>
        </w:rPr>
        <w:t xml:space="preserve">: </w:t>
      </w:r>
      <w:hyperlink r:id="rId8" w:history="1">
        <w:r w:rsidRPr="001458F1">
          <w:rPr>
            <w:rStyle w:val="Hyperlink"/>
            <w:rFonts w:eastAsia="Times New Roman" w:cs="Calibri"/>
          </w:rPr>
          <w:t>Coaching</w:t>
        </w:r>
      </w:hyperlink>
      <w:r w:rsidRPr="00E4375F">
        <w:rPr>
          <w:rFonts w:eastAsia="Times New Roman" w:cs="Calibri"/>
        </w:rPr>
        <w:t xml:space="preserve">, </w:t>
      </w:r>
      <w:hyperlink r:id="rId9" w:history="1">
        <w:r w:rsidRPr="00E4375F">
          <w:rPr>
            <w:rStyle w:val="Hyperlink"/>
            <w:rFonts w:eastAsia="Times New Roman" w:cs="Calibri"/>
          </w:rPr>
          <w:t>Common Mission and Vision</w:t>
        </w:r>
      </w:hyperlink>
      <w:r w:rsidRPr="00E4375F">
        <w:rPr>
          <w:rFonts w:eastAsia="Times New Roman" w:cs="Calibri"/>
        </w:rPr>
        <w:t xml:space="preserve">, </w:t>
      </w:r>
      <w:hyperlink r:id="rId10" w:history="1">
        <w:r w:rsidRPr="001458F1">
          <w:rPr>
            <w:rStyle w:val="Hyperlink"/>
            <w:rFonts w:eastAsia="Times New Roman" w:cs="Calibri"/>
          </w:rPr>
          <w:t>Data Driven Instruction</w:t>
        </w:r>
      </w:hyperlink>
    </w:p>
    <w:p w14:paraId="2605787D" w14:textId="219F1280" w:rsidR="00D93BCF" w:rsidRDefault="00D93BCF" w:rsidP="00D93BCF">
      <w:pPr>
        <w:pStyle w:val="Heading2"/>
      </w:pPr>
      <w:r>
        <w:t>Contextual Fit</w:t>
      </w:r>
    </w:p>
    <w:p w14:paraId="09579F53" w14:textId="77777777" w:rsidR="00A443E1" w:rsidRPr="00A443E1" w:rsidRDefault="00A443E1" w:rsidP="00A443E1">
      <w:r w:rsidRPr="00A443E1">
        <w:t>Possible Root Causes include inadequate, inconsistent or ineffective…</w:t>
      </w:r>
    </w:p>
    <w:p w14:paraId="00B742F6" w14:textId="77777777" w:rsidR="005A5939" w:rsidRDefault="005A5939" w:rsidP="005A5939">
      <w:pPr>
        <w:pStyle w:val="NormalWeb"/>
        <w:numPr>
          <w:ilvl w:val="0"/>
          <w:numId w:val="3"/>
        </w:numPr>
        <w:spacing w:before="0" w:beforeAutospacing="0" w:after="0" w:afterAutospacing="0" w:line="259" w:lineRule="auto"/>
        <w:textAlignment w:val="baseline"/>
        <w:rPr>
          <w:rFonts w:ascii="Calibri" w:eastAsia="Times New Roman" w:hAnsi="Calibri" w:cs="Calibri"/>
          <w:color w:val="000000"/>
        </w:rPr>
      </w:pPr>
      <w:bookmarkStart w:id="0" w:name="_oz03djhiw4bv" w:colFirst="0" w:colLast="0"/>
      <w:bookmarkStart w:id="1" w:name="_8qsi7rymrjjr" w:colFirst="0" w:colLast="0"/>
      <w:bookmarkEnd w:id="0"/>
      <w:bookmarkEnd w:id="1"/>
      <w:r>
        <w:rPr>
          <w:rFonts w:ascii="Calibri" w:hAnsi="Calibri" w:cs="Calibri"/>
          <w:color w:val="000000"/>
        </w:rPr>
        <w:t>System for additional Interventions</w:t>
      </w:r>
    </w:p>
    <w:p w14:paraId="1190762A" w14:textId="77777777" w:rsidR="005A5939" w:rsidRDefault="005A5939" w:rsidP="005A5939">
      <w:pPr>
        <w:pStyle w:val="NormalWeb"/>
        <w:numPr>
          <w:ilvl w:val="0"/>
          <w:numId w:val="3"/>
        </w:numPr>
        <w:spacing w:before="0" w:beforeAutospacing="0" w:after="0" w:afterAutospacing="0" w:line="259" w:lineRule="auto"/>
        <w:textAlignment w:val="baseline"/>
        <w:rPr>
          <w:rFonts w:ascii="Calibri" w:hAnsi="Calibri" w:cs="Calibri"/>
          <w:color w:val="000000"/>
        </w:rPr>
      </w:pPr>
      <w:r>
        <w:rPr>
          <w:rFonts w:ascii="Calibri" w:hAnsi="Calibri" w:cs="Calibri"/>
          <w:color w:val="000000"/>
        </w:rPr>
        <w:t>Student experiences</w:t>
      </w:r>
    </w:p>
    <w:p w14:paraId="7D4AAE97" w14:textId="7C9872FF" w:rsidR="00A443E1" w:rsidRPr="00A443E1" w:rsidRDefault="005A5939" w:rsidP="005A5939">
      <w:pPr>
        <w:numPr>
          <w:ilvl w:val="0"/>
          <w:numId w:val="3"/>
        </w:numPr>
      </w:pPr>
      <w:r>
        <w:rPr>
          <w:rFonts w:cs="Calibri"/>
          <w:color w:val="000000"/>
        </w:rPr>
        <w:t>Student preparation</w:t>
      </w:r>
    </w:p>
    <w:p w14:paraId="3518DC9A" w14:textId="77777777" w:rsidR="00A443E1" w:rsidRPr="00A443E1" w:rsidRDefault="00A443E1" w:rsidP="00240CAB">
      <w:pPr>
        <w:keepNext/>
      </w:pPr>
      <w:r w:rsidRPr="00A443E1">
        <w:lastRenderedPageBreak/>
        <w:t>Is this strategy a good fit for your district/school?</w:t>
      </w:r>
    </w:p>
    <w:p w14:paraId="36E5FD95" w14:textId="77777777" w:rsidR="00240CAB" w:rsidRDefault="00240CAB" w:rsidP="00240CAB">
      <w:pPr>
        <w:pStyle w:val="NormalWeb"/>
        <w:numPr>
          <w:ilvl w:val="0"/>
          <w:numId w:val="4"/>
        </w:numPr>
        <w:spacing w:before="0" w:beforeAutospacing="0" w:after="0" w:afterAutospacing="0" w:line="259" w:lineRule="auto"/>
        <w:textAlignment w:val="baseline"/>
        <w:rPr>
          <w:rFonts w:ascii="Calibri" w:eastAsia="Times New Roman" w:hAnsi="Calibri" w:cs="Calibri"/>
          <w:color w:val="000000"/>
        </w:rPr>
      </w:pPr>
      <w:r>
        <w:rPr>
          <w:rFonts w:ascii="Calibri" w:hAnsi="Calibri" w:cs="Calibri"/>
          <w:color w:val="000000"/>
        </w:rPr>
        <w:t>Is there district and community support for high dosage tutoring?</w:t>
      </w:r>
    </w:p>
    <w:p w14:paraId="303E06C6" w14:textId="77777777" w:rsidR="00240CAB" w:rsidRDefault="00240CAB" w:rsidP="00240CAB">
      <w:pPr>
        <w:pStyle w:val="NormalWeb"/>
        <w:numPr>
          <w:ilvl w:val="0"/>
          <w:numId w:val="4"/>
        </w:numPr>
        <w:spacing w:before="0" w:beforeAutospacing="0" w:after="0" w:afterAutospacing="0" w:line="259" w:lineRule="auto"/>
        <w:textAlignment w:val="baseline"/>
        <w:rPr>
          <w:rFonts w:ascii="Calibri" w:hAnsi="Calibri" w:cs="Calibri"/>
          <w:color w:val="000000"/>
        </w:rPr>
      </w:pPr>
      <w:r>
        <w:rPr>
          <w:rFonts w:ascii="Calibri" w:hAnsi="Calibri" w:cs="Calibri"/>
          <w:color w:val="000000"/>
        </w:rPr>
        <w:t>Is there time to plan for high dosage tutoring?</w:t>
      </w:r>
    </w:p>
    <w:p w14:paraId="5696B9B0" w14:textId="77777777" w:rsidR="00240CAB" w:rsidRDefault="00240CAB" w:rsidP="00240CAB">
      <w:pPr>
        <w:pStyle w:val="NormalWeb"/>
        <w:numPr>
          <w:ilvl w:val="0"/>
          <w:numId w:val="4"/>
        </w:numPr>
        <w:spacing w:before="0" w:beforeAutospacing="0" w:after="0" w:afterAutospacing="0" w:line="259" w:lineRule="auto"/>
        <w:textAlignment w:val="baseline"/>
        <w:rPr>
          <w:rFonts w:ascii="Calibri" w:hAnsi="Calibri" w:cs="Calibri"/>
          <w:color w:val="000000"/>
        </w:rPr>
      </w:pPr>
      <w:r>
        <w:rPr>
          <w:rFonts w:ascii="Calibri" w:hAnsi="Calibri" w:cs="Calibri"/>
          <w:color w:val="000000"/>
        </w:rPr>
        <w:t>Are there competing family, community, school and/or district demands that will lessen the effectiveness of high dosage tutoring?</w:t>
      </w:r>
    </w:p>
    <w:p w14:paraId="6F5E7405" w14:textId="77777777" w:rsidR="00240CAB" w:rsidRDefault="00240CAB" w:rsidP="00240CAB">
      <w:pPr>
        <w:pStyle w:val="NormalWeb"/>
        <w:numPr>
          <w:ilvl w:val="0"/>
          <w:numId w:val="4"/>
        </w:numPr>
        <w:spacing w:before="0" w:beforeAutospacing="0" w:after="0" w:afterAutospacing="0" w:line="259" w:lineRule="auto"/>
        <w:textAlignment w:val="baseline"/>
        <w:rPr>
          <w:rFonts w:ascii="Calibri" w:hAnsi="Calibri" w:cs="Calibri"/>
          <w:color w:val="000000"/>
        </w:rPr>
      </w:pPr>
      <w:r>
        <w:rPr>
          <w:rFonts w:ascii="Calibri" w:hAnsi="Calibri" w:cs="Calibri"/>
          <w:color w:val="000000"/>
        </w:rPr>
        <w:t xml:space="preserve">Are there staff, teachers and administrators available and willing to provide </w:t>
      </w:r>
      <w:proofErr w:type="gramStart"/>
      <w:r>
        <w:rPr>
          <w:rFonts w:ascii="Calibri" w:hAnsi="Calibri" w:cs="Calibri"/>
          <w:color w:val="000000"/>
        </w:rPr>
        <w:t>high dosage</w:t>
      </w:r>
      <w:proofErr w:type="gramEnd"/>
      <w:r>
        <w:rPr>
          <w:rFonts w:ascii="Calibri" w:hAnsi="Calibri" w:cs="Calibri"/>
          <w:color w:val="000000"/>
        </w:rPr>
        <w:t xml:space="preserve"> tutoring?</w:t>
      </w:r>
    </w:p>
    <w:p w14:paraId="1595D0EA" w14:textId="77777777" w:rsidR="00240CAB" w:rsidRDefault="00240CAB" w:rsidP="00240CAB">
      <w:pPr>
        <w:pStyle w:val="NormalWeb"/>
        <w:numPr>
          <w:ilvl w:val="0"/>
          <w:numId w:val="4"/>
        </w:numPr>
        <w:spacing w:before="0" w:beforeAutospacing="0" w:after="0" w:afterAutospacing="0" w:line="259" w:lineRule="auto"/>
        <w:textAlignment w:val="baseline"/>
        <w:rPr>
          <w:rFonts w:ascii="Calibri" w:hAnsi="Calibri" w:cs="Calibri"/>
          <w:color w:val="000000"/>
        </w:rPr>
      </w:pPr>
      <w:r>
        <w:rPr>
          <w:rFonts w:ascii="Calibri" w:hAnsi="Calibri" w:cs="Calibri"/>
          <w:color w:val="000000"/>
        </w:rPr>
        <w:t>Is funding available to support high dosage tutoring?</w:t>
      </w:r>
    </w:p>
    <w:p w14:paraId="2F7C6678" w14:textId="77777777" w:rsidR="00240CAB" w:rsidRDefault="00240CAB" w:rsidP="00240CAB">
      <w:pPr>
        <w:pStyle w:val="NormalWeb"/>
        <w:numPr>
          <w:ilvl w:val="0"/>
          <w:numId w:val="4"/>
        </w:numPr>
        <w:spacing w:before="0" w:beforeAutospacing="0" w:after="0" w:afterAutospacing="0" w:line="259" w:lineRule="auto"/>
        <w:textAlignment w:val="baseline"/>
        <w:rPr>
          <w:rFonts w:ascii="Calibri" w:hAnsi="Calibri" w:cs="Calibri"/>
          <w:color w:val="000000"/>
        </w:rPr>
      </w:pPr>
      <w:r>
        <w:rPr>
          <w:rFonts w:ascii="Calibri" w:hAnsi="Calibri" w:cs="Calibri"/>
          <w:color w:val="000000"/>
        </w:rPr>
        <w:t>Is the purpose of high dosage tutoring clear and aligned to student needs?</w:t>
      </w:r>
    </w:p>
    <w:p w14:paraId="374D7C87" w14:textId="520B53B8" w:rsidR="00A443E1" w:rsidRPr="00A443E1" w:rsidRDefault="00240CAB" w:rsidP="00240CAB">
      <w:pPr>
        <w:numPr>
          <w:ilvl w:val="0"/>
          <w:numId w:val="4"/>
        </w:numPr>
      </w:pPr>
      <w:r>
        <w:rPr>
          <w:rFonts w:cs="Calibri"/>
          <w:color w:val="000000"/>
        </w:rPr>
        <w:t>Is there a need to increase reading proficiency in lower elementary grades, or math proficiency in upper elementary, middle and/or high school grades?</w:t>
      </w:r>
    </w:p>
    <w:p w14:paraId="6B901852" w14:textId="124C3BEA" w:rsidR="00D93BCF" w:rsidRDefault="00A443E1" w:rsidP="00A443E1">
      <w:pPr>
        <w:pStyle w:val="Heading2"/>
      </w:pPr>
      <w:r>
        <w:t>Core Components, Elements &amp; Activities</w:t>
      </w:r>
    </w:p>
    <w:p w14:paraId="06695E03" w14:textId="1861A7AC" w:rsidR="006B199B" w:rsidRPr="00CA434C" w:rsidRDefault="006B199B" w:rsidP="006B199B">
      <w:pPr>
        <w:spacing w:after="0" w:line="276" w:lineRule="auto"/>
        <w:rPr>
          <w:rFonts w:ascii="Times New Roman" w:eastAsia="Times New Roman" w:hAnsi="Times New Roman" w:cs="Times New Roman"/>
          <w:kern w:val="0"/>
          <w:szCs w:val="24"/>
          <w14:ligatures w14:val="none"/>
        </w:rPr>
      </w:pPr>
      <w:r w:rsidRPr="00CA434C">
        <w:rPr>
          <w:rFonts w:eastAsia="Trebuchet MS" w:cs="Calibri"/>
          <w:color w:val="000000"/>
          <w:kern w:val="0"/>
          <w14:ligatures w14:val="none"/>
        </w:rPr>
        <w:t xml:space="preserve">Components, and elements within each component, should be implemented </w:t>
      </w:r>
      <w:r w:rsidRPr="00CA434C">
        <w:rPr>
          <w:rFonts w:eastAsia="Trebuchet MS" w:cs="Calibri"/>
          <w:color w:val="000000"/>
          <w:kern w:val="0"/>
          <w:u w:val="single"/>
          <w14:ligatures w14:val="none"/>
        </w:rPr>
        <w:t>sequentially</w:t>
      </w:r>
      <w:r>
        <w:rPr>
          <w:rFonts w:eastAsia="Trebuchet MS" w:cs="Calibri"/>
          <w:color w:val="000000"/>
          <w:kern w:val="0"/>
          <w14:ligatures w14:val="none"/>
        </w:rPr>
        <w:t xml:space="preserve"> </w:t>
      </w:r>
      <w:r w:rsidRPr="00CA434C">
        <w:rPr>
          <w:rFonts w:eastAsia="Trebuchet MS" w:cs="Calibri"/>
          <w:color w:val="000000"/>
          <w:kern w:val="0"/>
          <w14:ligatures w14:val="none"/>
        </w:rPr>
        <w:t>in the following order to increase the likelihood of successful outcomes.</w:t>
      </w:r>
    </w:p>
    <w:p w14:paraId="05CCCE59" w14:textId="4CC3A364" w:rsidR="00FA211A" w:rsidRDefault="00FA211A" w:rsidP="00F94302">
      <w:pPr>
        <w:pStyle w:val="Heading3"/>
      </w:pPr>
      <w:r>
        <w:t xml:space="preserve">Core Component 1: </w:t>
      </w:r>
      <w:r w:rsidR="0005183E" w:rsidRPr="00FB002C">
        <w:rPr>
          <w:bCs/>
        </w:rPr>
        <w:t>Tutoring Plan</w:t>
      </w:r>
      <w:r w:rsidR="0005183E">
        <w:t xml:space="preserve"> </w:t>
      </w:r>
      <w:r w:rsidR="0005183E" w:rsidRPr="00FB002C">
        <w:rPr>
          <w:bCs/>
        </w:rPr>
        <w:t>Vision and Infrastructure</w:t>
      </w:r>
    </w:p>
    <w:p w14:paraId="6ED0D1E3" w14:textId="77777777" w:rsidR="008559FC" w:rsidRPr="008559FC" w:rsidRDefault="008559FC" w:rsidP="008559FC">
      <w:pPr>
        <w:rPr>
          <w:i/>
          <w:iCs/>
        </w:rPr>
      </w:pPr>
      <w:proofErr w:type="gramStart"/>
      <w:r w:rsidRPr="008559FC">
        <w:rPr>
          <w:i/>
          <w:iCs/>
        </w:rPr>
        <w:t>In order to</w:t>
      </w:r>
      <w:proofErr w:type="gramEnd"/>
      <w:r w:rsidRPr="008559FC">
        <w:rPr>
          <w:i/>
          <w:iCs/>
        </w:rPr>
        <w:t xml:space="preserve"> develop an implementation plan, schools must develop a vision and infrastructure for highly effective High Dosage Tutoring. </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8840"/>
      </w:tblGrid>
      <w:tr w:rsidR="00CF6BAD" w:rsidRPr="00CF6BAD" w14:paraId="4B06DE12" w14:textId="77777777" w:rsidTr="005B3EDC">
        <w:trPr>
          <w:tblHeader/>
        </w:trPr>
        <w:tc>
          <w:tcPr>
            <w:tcW w:w="1800" w:type="dxa"/>
            <w:shd w:val="clear" w:color="auto" w:fill="F3F3F3"/>
            <w:tcMar>
              <w:top w:w="100" w:type="dxa"/>
              <w:left w:w="100" w:type="dxa"/>
              <w:bottom w:w="100" w:type="dxa"/>
              <w:right w:w="100" w:type="dxa"/>
            </w:tcMar>
          </w:tcPr>
          <w:p w14:paraId="1E8AB0D5" w14:textId="77777777" w:rsidR="00CF6BAD" w:rsidRPr="00CF6BAD" w:rsidRDefault="00CF6BAD" w:rsidP="00CF6BAD">
            <w:pPr>
              <w:spacing w:after="0"/>
              <w:ind w:left="0" w:right="0"/>
              <w:rPr>
                <w:b/>
                <w:bCs/>
              </w:rPr>
            </w:pPr>
            <w:r w:rsidRPr="00CF6BAD">
              <w:rPr>
                <w:b/>
                <w:bCs/>
              </w:rPr>
              <w:t>Elements or Activities</w:t>
            </w:r>
          </w:p>
        </w:tc>
        <w:tc>
          <w:tcPr>
            <w:tcW w:w="8840" w:type="dxa"/>
            <w:shd w:val="clear" w:color="auto" w:fill="F3F3F3"/>
            <w:tcMar>
              <w:top w:w="100" w:type="dxa"/>
              <w:left w:w="100" w:type="dxa"/>
              <w:bottom w:w="100" w:type="dxa"/>
              <w:right w:w="100" w:type="dxa"/>
            </w:tcMar>
          </w:tcPr>
          <w:p w14:paraId="49AE9E97" w14:textId="77777777" w:rsidR="00CF6BAD" w:rsidRPr="00CF6BAD" w:rsidRDefault="00CF6BAD" w:rsidP="00CF6BAD">
            <w:pPr>
              <w:ind w:left="0" w:right="0"/>
              <w:rPr>
                <w:b/>
                <w:bCs/>
              </w:rPr>
            </w:pPr>
            <w:r w:rsidRPr="00CF6BAD">
              <w:rPr>
                <w:b/>
                <w:bCs/>
              </w:rPr>
              <w:t xml:space="preserve"> Description</w:t>
            </w:r>
          </w:p>
        </w:tc>
      </w:tr>
      <w:tr w:rsidR="005B3EDC" w:rsidRPr="00CF6BAD" w14:paraId="4421B7FB" w14:textId="77777777" w:rsidTr="005B3EDC">
        <w:tc>
          <w:tcPr>
            <w:tcW w:w="1800" w:type="dxa"/>
            <w:shd w:val="clear" w:color="auto" w:fill="auto"/>
            <w:tcMar>
              <w:top w:w="100" w:type="dxa"/>
              <w:left w:w="100" w:type="dxa"/>
              <w:bottom w:w="100" w:type="dxa"/>
              <w:right w:w="100" w:type="dxa"/>
            </w:tcMar>
          </w:tcPr>
          <w:p w14:paraId="618242DC" w14:textId="6F082CFF" w:rsidR="005B3EDC" w:rsidRPr="00892C40" w:rsidRDefault="005B3EDC" w:rsidP="00892C40">
            <w:pPr>
              <w:spacing w:after="0"/>
              <w:ind w:left="0" w:right="0"/>
              <w:rPr>
                <w:i/>
                <w:iCs/>
                <w:szCs w:val="24"/>
              </w:rPr>
            </w:pPr>
            <w:r w:rsidRPr="00892C40">
              <w:rPr>
                <w:rFonts w:cs="Calibri"/>
                <w:color w:val="000000"/>
                <w:szCs w:val="24"/>
              </w:rPr>
              <w:t>Establish Vision and Infrastructure</w:t>
            </w:r>
          </w:p>
        </w:tc>
        <w:tc>
          <w:tcPr>
            <w:tcW w:w="8840" w:type="dxa"/>
            <w:shd w:val="clear" w:color="auto" w:fill="auto"/>
            <w:tcMar>
              <w:top w:w="100" w:type="dxa"/>
              <w:left w:w="100" w:type="dxa"/>
              <w:bottom w:w="100" w:type="dxa"/>
              <w:right w:w="100" w:type="dxa"/>
            </w:tcMar>
          </w:tcPr>
          <w:p w14:paraId="5D4BE875" w14:textId="1DA1773C" w:rsidR="005B3EDC" w:rsidRPr="00892C40" w:rsidRDefault="005B3EDC" w:rsidP="00892C40">
            <w:pPr>
              <w:spacing w:after="0"/>
              <w:ind w:left="0" w:right="0"/>
              <w:rPr>
                <w:szCs w:val="24"/>
              </w:rPr>
            </w:pPr>
            <w:r w:rsidRPr="00892C40">
              <w:rPr>
                <w:rFonts w:cs="Calibri"/>
                <w:color w:val="000000"/>
                <w:szCs w:val="24"/>
              </w:rPr>
              <w:t xml:space="preserve">Ensure that there is a clearly articulated purpose and vision for high dosage tutoring. Schools should make decisions around the timing, frequency and duration of tutoring, size of tutoring groups and how to select students and tutors. Additional decisions should be made </w:t>
            </w:r>
            <w:proofErr w:type="gramStart"/>
            <w:r w:rsidRPr="00892C40">
              <w:rPr>
                <w:rFonts w:cs="Calibri"/>
                <w:color w:val="000000"/>
                <w:szCs w:val="24"/>
              </w:rPr>
              <w:t>around</w:t>
            </w:r>
            <w:proofErr w:type="gramEnd"/>
            <w:r w:rsidRPr="00892C40">
              <w:rPr>
                <w:rFonts w:cs="Calibri"/>
                <w:color w:val="000000"/>
                <w:szCs w:val="24"/>
              </w:rPr>
              <w:t xml:space="preserve"> tutoring content, communication systems and assessments.</w:t>
            </w:r>
          </w:p>
        </w:tc>
      </w:tr>
      <w:tr w:rsidR="005B3EDC" w:rsidRPr="00CF6BAD" w14:paraId="1623712D" w14:textId="77777777" w:rsidTr="005B3EDC">
        <w:tc>
          <w:tcPr>
            <w:tcW w:w="1800" w:type="dxa"/>
            <w:shd w:val="clear" w:color="auto" w:fill="auto"/>
            <w:tcMar>
              <w:top w:w="100" w:type="dxa"/>
              <w:left w:w="100" w:type="dxa"/>
              <w:bottom w:w="100" w:type="dxa"/>
              <w:right w:w="100" w:type="dxa"/>
            </w:tcMar>
          </w:tcPr>
          <w:p w14:paraId="3B3E2A2D" w14:textId="56680646" w:rsidR="005B3EDC" w:rsidRPr="00892C40" w:rsidRDefault="005B3EDC" w:rsidP="00892C40">
            <w:pPr>
              <w:spacing w:after="0"/>
              <w:ind w:left="0" w:right="0"/>
              <w:rPr>
                <w:i/>
                <w:iCs/>
                <w:szCs w:val="24"/>
              </w:rPr>
            </w:pPr>
            <w:r w:rsidRPr="00892C40">
              <w:rPr>
                <w:rFonts w:cs="Calibri"/>
                <w:color w:val="000000"/>
                <w:szCs w:val="24"/>
              </w:rPr>
              <w:t>Determine Tutoring Schedule</w:t>
            </w:r>
          </w:p>
        </w:tc>
        <w:tc>
          <w:tcPr>
            <w:tcW w:w="8840" w:type="dxa"/>
            <w:shd w:val="clear" w:color="auto" w:fill="auto"/>
            <w:tcMar>
              <w:top w:w="100" w:type="dxa"/>
              <w:left w:w="100" w:type="dxa"/>
              <w:bottom w:w="100" w:type="dxa"/>
              <w:right w:w="100" w:type="dxa"/>
            </w:tcMar>
          </w:tcPr>
          <w:p w14:paraId="6FC57E39" w14:textId="77777777" w:rsidR="005B3EDC" w:rsidRPr="00892C40" w:rsidRDefault="005B3EDC" w:rsidP="00892C40">
            <w:pPr>
              <w:pStyle w:val="NormalWeb"/>
              <w:spacing w:before="0" w:beforeAutospacing="0" w:after="0" w:afterAutospacing="0" w:line="259" w:lineRule="auto"/>
              <w:rPr>
                <w:sz w:val="24"/>
                <w:szCs w:val="24"/>
              </w:rPr>
            </w:pPr>
            <w:r w:rsidRPr="00892C40">
              <w:rPr>
                <w:rFonts w:ascii="Calibri" w:hAnsi="Calibri" w:cs="Calibri"/>
                <w:color w:val="000000"/>
                <w:sz w:val="24"/>
                <w:szCs w:val="24"/>
              </w:rPr>
              <w:t xml:space="preserve">Tutoring during the school day leads to an increased effect size of 0.4 standard deviations. Tutoring during the school day should be supplemental rather than replacing grade level content classroom instruction. Examples of times during the school day include during electives/specials, or during a second block of content instruction. Schools have increased the length of the school day </w:t>
            </w:r>
            <w:proofErr w:type="gramStart"/>
            <w:r w:rsidRPr="00892C40">
              <w:rPr>
                <w:rFonts w:ascii="Calibri" w:hAnsi="Calibri" w:cs="Calibri"/>
                <w:color w:val="000000"/>
                <w:sz w:val="24"/>
                <w:szCs w:val="24"/>
              </w:rPr>
              <w:t>in order to</w:t>
            </w:r>
            <w:proofErr w:type="gramEnd"/>
            <w:r w:rsidRPr="00892C40">
              <w:rPr>
                <w:rFonts w:ascii="Calibri" w:hAnsi="Calibri" w:cs="Calibri"/>
                <w:color w:val="000000"/>
                <w:sz w:val="24"/>
                <w:szCs w:val="24"/>
              </w:rPr>
              <w:t xml:space="preserve"> incorporate tutoring into the daily schedule. Tutoring after school leads to an increased effect size of 0.21 standard deviations.</w:t>
            </w:r>
          </w:p>
          <w:p w14:paraId="068845E6" w14:textId="77777777" w:rsidR="005B3EDC" w:rsidRPr="00892C40" w:rsidRDefault="005B3EDC" w:rsidP="00892C40">
            <w:pPr>
              <w:pStyle w:val="NormalWeb"/>
              <w:numPr>
                <w:ilvl w:val="0"/>
                <w:numId w:val="10"/>
              </w:numPr>
              <w:spacing w:after="0" w:afterAutospacing="0" w:line="259" w:lineRule="auto"/>
              <w:rPr>
                <w:sz w:val="24"/>
                <w:szCs w:val="24"/>
              </w:rPr>
            </w:pPr>
            <w:r w:rsidRPr="00892C40">
              <w:rPr>
                <w:rFonts w:ascii="Calibri" w:hAnsi="Calibri" w:cs="Calibri"/>
                <w:color w:val="000000"/>
                <w:sz w:val="24"/>
                <w:szCs w:val="24"/>
              </w:rPr>
              <w:t xml:space="preserve">It is important to have a consistent, regularly scheduled time and location </w:t>
            </w:r>
            <w:proofErr w:type="gramStart"/>
            <w:r w:rsidRPr="00892C40">
              <w:rPr>
                <w:rFonts w:ascii="Calibri" w:hAnsi="Calibri" w:cs="Calibri"/>
                <w:color w:val="000000"/>
                <w:sz w:val="24"/>
                <w:szCs w:val="24"/>
              </w:rPr>
              <w:t>in order to</w:t>
            </w:r>
            <w:proofErr w:type="gramEnd"/>
            <w:r w:rsidRPr="00892C40">
              <w:rPr>
                <w:rFonts w:ascii="Calibri" w:hAnsi="Calibri" w:cs="Calibri"/>
                <w:color w:val="000000"/>
                <w:sz w:val="24"/>
                <w:szCs w:val="24"/>
              </w:rPr>
              <w:t xml:space="preserve"> increase student participation in tutoring.</w:t>
            </w:r>
          </w:p>
          <w:p w14:paraId="34EE3F54" w14:textId="77777777" w:rsidR="005B3EDC" w:rsidRPr="00892C40" w:rsidRDefault="005B3EDC" w:rsidP="00892C40">
            <w:pPr>
              <w:pStyle w:val="NormalWeb"/>
              <w:numPr>
                <w:ilvl w:val="0"/>
                <w:numId w:val="10"/>
              </w:numPr>
              <w:spacing w:after="0" w:afterAutospacing="0" w:line="259" w:lineRule="auto"/>
              <w:rPr>
                <w:sz w:val="24"/>
                <w:szCs w:val="24"/>
              </w:rPr>
            </w:pPr>
            <w:r w:rsidRPr="00892C40">
              <w:rPr>
                <w:rFonts w:ascii="Calibri" w:hAnsi="Calibri" w:cs="Calibri"/>
                <w:color w:val="000000"/>
                <w:sz w:val="24"/>
                <w:szCs w:val="24"/>
              </w:rPr>
              <w:t xml:space="preserve">Most tutoring programs </w:t>
            </w:r>
            <w:proofErr w:type="gramStart"/>
            <w:r w:rsidRPr="00892C40">
              <w:rPr>
                <w:rFonts w:ascii="Calibri" w:hAnsi="Calibri" w:cs="Calibri"/>
                <w:color w:val="000000"/>
                <w:sz w:val="24"/>
                <w:szCs w:val="24"/>
              </w:rPr>
              <w:t>reporting</w:t>
            </w:r>
            <w:proofErr w:type="gramEnd"/>
            <w:r w:rsidRPr="00892C40">
              <w:rPr>
                <w:rFonts w:ascii="Calibri" w:hAnsi="Calibri" w:cs="Calibri"/>
                <w:color w:val="000000"/>
                <w:sz w:val="24"/>
                <w:szCs w:val="24"/>
              </w:rPr>
              <w:t xml:space="preserve"> increased effect sizes have 30-60 minutes of tutoring at least three days each week, with a greater effect size with four to five days per week.</w:t>
            </w:r>
          </w:p>
          <w:p w14:paraId="33004AE4" w14:textId="77777777" w:rsidR="005B3EDC" w:rsidRPr="00892C40" w:rsidRDefault="005B3EDC" w:rsidP="00892C40">
            <w:pPr>
              <w:pStyle w:val="NormalWeb"/>
              <w:numPr>
                <w:ilvl w:val="0"/>
                <w:numId w:val="10"/>
              </w:numPr>
              <w:spacing w:after="240" w:afterAutospacing="0" w:line="259" w:lineRule="auto"/>
              <w:rPr>
                <w:sz w:val="24"/>
                <w:szCs w:val="24"/>
              </w:rPr>
            </w:pPr>
            <w:r w:rsidRPr="00892C40">
              <w:rPr>
                <w:rFonts w:ascii="Calibri" w:hAnsi="Calibri" w:cs="Calibri"/>
                <w:color w:val="000000"/>
                <w:sz w:val="24"/>
                <w:szCs w:val="24"/>
              </w:rPr>
              <w:t>Students who participate in approximately 65 total hours of tutoring have shown an increase in achievement.</w:t>
            </w:r>
          </w:p>
          <w:p w14:paraId="5AE4C9ED" w14:textId="2D45CA59" w:rsidR="005B3EDC" w:rsidRPr="00892C40" w:rsidRDefault="005B3EDC" w:rsidP="00892C40">
            <w:pPr>
              <w:spacing w:after="0"/>
              <w:ind w:left="0" w:right="0"/>
              <w:rPr>
                <w:szCs w:val="24"/>
              </w:rPr>
            </w:pPr>
            <w:r w:rsidRPr="00892C40">
              <w:rPr>
                <w:rFonts w:cs="Calibri"/>
                <w:color w:val="000000"/>
                <w:szCs w:val="24"/>
              </w:rPr>
              <w:t>Effective tutoring lasts less than 20 weeks; more time has not shown to have an increased effect on academic achievement.</w:t>
            </w:r>
          </w:p>
        </w:tc>
      </w:tr>
      <w:tr w:rsidR="005B3EDC" w:rsidRPr="00CF6BAD" w14:paraId="43CC756A" w14:textId="77777777" w:rsidTr="005B3EDC">
        <w:tc>
          <w:tcPr>
            <w:tcW w:w="1800" w:type="dxa"/>
            <w:shd w:val="clear" w:color="auto" w:fill="auto"/>
            <w:tcMar>
              <w:top w:w="100" w:type="dxa"/>
              <w:left w:w="100" w:type="dxa"/>
              <w:bottom w:w="100" w:type="dxa"/>
              <w:right w:w="100" w:type="dxa"/>
            </w:tcMar>
          </w:tcPr>
          <w:p w14:paraId="289D30D1" w14:textId="697070AD" w:rsidR="005B3EDC" w:rsidRPr="00892C40" w:rsidRDefault="005B3EDC" w:rsidP="00892C40">
            <w:pPr>
              <w:spacing w:after="0"/>
              <w:ind w:left="0" w:right="0"/>
              <w:rPr>
                <w:i/>
                <w:iCs/>
                <w:szCs w:val="24"/>
              </w:rPr>
            </w:pPr>
            <w:r w:rsidRPr="00892C40">
              <w:rPr>
                <w:rFonts w:cs="Calibri"/>
                <w:color w:val="000000"/>
                <w:szCs w:val="24"/>
              </w:rPr>
              <w:lastRenderedPageBreak/>
              <w:t>Select Students</w:t>
            </w:r>
          </w:p>
        </w:tc>
        <w:tc>
          <w:tcPr>
            <w:tcW w:w="8840" w:type="dxa"/>
            <w:shd w:val="clear" w:color="auto" w:fill="auto"/>
            <w:tcMar>
              <w:top w:w="100" w:type="dxa"/>
              <w:left w:w="100" w:type="dxa"/>
              <w:bottom w:w="100" w:type="dxa"/>
              <w:right w:w="100" w:type="dxa"/>
            </w:tcMar>
          </w:tcPr>
          <w:p w14:paraId="31667CBF" w14:textId="199F8D78" w:rsidR="005B3EDC" w:rsidRPr="00892C40" w:rsidRDefault="005B3EDC" w:rsidP="00892C40">
            <w:pPr>
              <w:spacing w:after="0"/>
              <w:ind w:left="0" w:right="0"/>
              <w:rPr>
                <w:szCs w:val="24"/>
              </w:rPr>
            </w:pPr>
            <w:r w:rsidRPr="00892C40">
              <w:rPr>
                <w:rFonts w:cs="Calibri"/>
                <w:color w:val="000000"/>
                <w:szCs w:val="24"/>
              </w:rPr>
              <w:t>Students are selected using diagnostic assessment data as opposed to non-</w:t>
            </w:r>
            <w:proofErr w:type="gramStart"/>
            <w:r w:rsidRPr="00892C40">
              <w:rPr>
                <w:rFonts w:cs="Calibri"/>
                <w:color w:val="000000"/>
                <w:szCs w:val="24"/>
              </w:rPr>
              <w:t>assessment based</w:t>
            </w:r>
            <w:proofErr w:type="gramEnd"/>
            <w:r w:rsidRPr="00892C40">
              <w:rPr>
                <w:rFonts w:cs="Calibri"/>
                <w:color w:val="000000"/>
                <w:szCs w:val="24"/>
              </w:rPr>
              <w:t xml:space="preserve"> criteria, such as classroom grades, homework completion rates, parent requests or other referrals.</w:t>
            </w:r>
          </w:p>
        </w:tc>
      </w:tr>
      <w:tr w:rsidR="005B3EDC" w:rsidRPr="00CF6BAD" w14:paraId="6EACBE70" w14:textId="77777777" w:rsidTr="005B3EDC">
        <w:tc>
          <w:tcPr>
            <w:tcW w:w="1800" w:type="dxa"/>
            <w:shd w:val="clear" w:color="auto" w:fill="auto"/>
            <w:tcMar>
              <w:top w:w="100" w:type="dxa"/>
              <w:left w:w="100" w:type="dxa"/>
              <w:bottom w:w="100" w:type="dxa"/>
              <w:right w:w="100" w:type="dxa"/>
            </w:tcMar>
          </w:tcPr>
          <w:p w14:paraId="40290AF3" w14:textId="6A2F293B" w:rsidR="005B3EDC" w:rsidRPr="00892C40" w:rsidRDefault="005B3EDC" w:rsidP="00892C40">
            <w:pPr>
              <w:spacing w:after="0"/>
              <w:ind w:left="0" w:right="0"/>
              <w:rPr>
                <w:i/>
                <w:iCs/>
                <w:szCs w:val="24"/>
              </w:rPr>
            </w:pPr>
            <w:proofErr w:type="gramStart"/>
            <w:r w:rsidRPr="00892C40">
              <w:rPr>
                <w:rFonts w:cs="Calibri"/>
                <w:color w:val="000000"/>
                <w:szCs w:val="24"/>
              </w:rPr>
              <w:t>Make</w:t>
            </w:r>
            <w:proofErr w:type="gramEnd"/>
            <w:r w:rsidRPr="00892C40">
              <w:rPr>
                <w:rFonts w:cs="Calibri"/>
                <w:color w:val="000000"/>
                <w:szCs w:val="24"/>
              </w:rPr>
              <w:t xml:space="preserve"> Decisions </w:t>
            </w:r>
            <w:r w:rsidR="00892C40" w:rsidRPr="00892C40">
              <w:rPr>
                <w:rFonts w:cs="Calibri"/>
                <w:color w:val="000000"/>
                <w:szCs w:val="24"/>
              </w:rPr>
              <w:t>about</w:t>
            </w:r>
            <w:r w:rsidRPr="00892C40">
              <w:rPr>
                <w:rFonts w:cs="Calibri"/>
                <w:color w:val="000000"/>
                <w:szCs w:val="24"/>
              </w:rPr>
              <w:t xml:space="preserve"> Size of Tutoring Groups</w:t>
            </w:r>
          </w:p>
        </w:tc>
        <w:tc>
          <w:tcPr>
            <w:tcW w:w="8840" w:type="dxa"/>
            <w:shd w:val="clear" w:color="auto" w:fill="auto"/>
            <w:tcMar>
              <w:top w:w="100" w:type="dxa"/>
              <w:left w:w="100" w:type="dxa"/>
              <w:bottom w:w="100" w:type="dxa"/>
              <w:right w:w="100" w:type="dxa"/>
            </w:tcMar>
          </w:tcPr>
          <w:p w14:paraId="0195E632" w14:textId="1F966BD3" w:rsidR="005B3EDC" w:rsidRPr="00892C40" w:rsidRDefault="005B3EDC" w:rsidP="00892C40">
            <w:pPr>
              <w:spacing w:after="0"/>
              <w:ind w:left="0" w:right="0"/>
              <w:rPr>
                <w:szCs w:val="24"/>
              </w:rPr>
            </w:pPr>
            <w:r w:rsidRPr="00892C40">
              <w:rPr>
                <w:rFonts w:cs="Calibri"/>
                <w:color w:val="000000"/>
                <w:szCs w:val="24"/>
              </w:rPr>
              <w:t>One-to-one tutoring is generally more effective for students in preschool or kindergarten. Students in first grade benefit most from either one-to-one tutoring or in groups of two students. For students in second grade and above, tutoring in groups of three or four students is more effective. High Dosage Tutoring is considered to have six or less students per tutoring group</w:t>
            </w:r>
          </w:p>
        </w:tc>
      </w:tr>
      <w:tr w:rsidR="005B3EDC" w:rsidRPr="00CF6BAD" w14:paraId="1E6472ED" w14:textId="77777777" w:rsidTr="005B3EDC">
        <w:tc>
          <w:tcPr>
            <w:tcW w:w="1800" w:type="dxa"/>
            <w:shd w:val="clear" w:color="auto" w:fill="auto"/>
            <w:tcMar>
              <w:top w:w="100" w:type="dxa"/>
              <w:left w:w="100" w:type="dxa"/>
              <w:bottom w:w="100" w:type="dxa"/>
              <w:right w:w="100" w:type="dxa"/>
            </w:tcMar>
          </w:tcPr>
          <w:p w14:paraId="34BF5B09" w14:textId="68B34AAD" w:rsidR="005B3EDC" w:rsidRPr="00892C40" w:rsidRDefault="005B3EDC" w:rsidP="00892C40">
            <w:pPr>
              <w:spacing w:after="0"/>
              <w:ind w:left="0" w:right="0"/>
              <w:rPr>
                <w:i/>
                <w:iCs/>
                <w:szCs w:val="24"/>
              </w:rPr>
            </w:pPr>
            <w:r w:rsidRPr="00892C40">
              <w:rPr>
                <w:rFonts w:cs="Calibri"/>
                <w:color w:val="000000"/>
                <w:szCs w:val="24"/>
              </w:rPr>
              <w:t>Select Quality Tutors</w:t>
            </w:r>
          </w:p>
        </w:tc>
        <w:tc>
          <w:tcPr>
            <w:tcW w:w="8840" w:type="dxa"/>
            <w:shd w:val="clear" w:color="auto" w:fill="auto"/>
            <w:tcMar>
              <w:top w:w="100" w:type="dxa"/>
              <w:left w:w="100" w:type="dxa"/>
              <w:bottom w:w="100" w:type="dxa"/>
              <w:right w:w="100" w:type="dxa"/>
            </w:tcMar>
          </w:tcPr>
          <w:p w14:paraId="4144C48F" w14:textId="77777777" w:rsidR="005B3EDC" w:rsidRPr="00892C40" w:rsidRDefault="005B3EDC" w:rsidP="00892C40">
            <w:pPr>
              <w:pStyle w:val="NormalWeb"/>
              <w:spacing w:before="0" w:beforeAutospacing="0" w:after="0" w:afterAutospacing="0" w:line="259" w:lineRule="auto"/>
              <w:rPr>
                <w:sz w:val="24"/>
                <w:szCs w:val="24"/>
              </w:rPr>
            </w:pPr>
            <w:r w:rsidRPr="00892C40">
              <w:rPr>
                <w:rFonts w:ascii="Calibri" w:hAnsi="Calibri" w:cs="Calibri"/>
                <w:color w:val="000000"/>
                <w:sz w:val="24"/>
                <w:szCs w:val="24"/>
              </w:rPr>
              <w:t xml:space="preserve">Schools that used teachers as tutors generally have stronger results compared to schools that </w:t>
            </w:r>
            <w:proofErr w:type="gramStart"/>
            <w:r w:rsidRPr="00892C40">
              <w:rPr>
                <w:rFonts w:ascii="Calibri" w:hAnsi="Calibri" w:cs="Calibri"/>
                <w:color w:val="000000"/>
                <w:sz w:val="24"/>
                <w:szCs w:val="24"/>
              </w:rPr>
              <w:t>use</w:t>
            </w:r>
            <w:proofErr w:type="gramEnd"/>
            <w:r w:rsidRPr="00892C40">
              <w:rPr>
                <w:rFonts w:ascii="Calibri" w:hAnsi="Calibri" w:cs="Calibri"/>
                <w:color w:val="000000"/>
                <w:sz w:val="24"/>
                <w:szCs w:val="24"/>
              </w:rPr>
              <w:t xml:space="preserve"> others as tutors.</w:t>
            </w:r>
          </w:p>
          <w:p w14:paraId="06358981" w14:textId="77777777" w:rsidR="005B3EDC" w:rsidRPr="00892C40" w:rsidRDefault="005B3EDC" w:rsidP="00892C40">
            <w:pPr>
              <w:pStyle w:val="NormalWeb"/>
              <w:numPr>
                <w:ilvl w:val="0"/>
                <w:numId w:val="11"/>
              </w:numPr>
              <w:spacing w:before="240" w:beforeAutospacing="0" w:after="0" w:afterAutospacing="0" w:line="259" w:lineRule="auto"/>
              <w:textAlignment w:val="baseline"/>
              <w:rPr>
                <w:rFonts w:ascii="Calibri" w:hAnsi="Calibri" w:cs="Calibri"/>
                <w:color w:val="000000"/>
                <w:sz w:val="24"/>
                <w:szCs w:val="24"/>
              </w:rPr>
            </w:pPr>
            <w:r w:rsidRPr="00892C40">
              <w:rPr>
                <w:rFonts w:ascii="Calibri" w:hAnsi="Calibri" w:cs="Calibri"/>
                <w:color w:val="000000"/>
                <w:sz w:val="24"/>
                <w:szCs w:val="24"/>
              </w:rPr>
              <w:t>Tutoring is most effective when teachers provide instruction. </w:t>
            </w:r>
          </w:p>
          <w:p w14:paraId="4EE8CE63" w14:textId="77777777" w:rsidR="005B3EDC" w:rsidRPr="00892C40" w:rsidRDefault="005B3EDC" w:rsidP="00892C40">
            <w:pPr>
              <w:pStyle w:val="NormalWeb"/>
              <w:numPr>
                <w:ilvl w:val="0"/>
                <w:numId w:val="11"/>
              </w:numPr>
              <w:spacing w:before="0" w:beforeAutospacing="0" w:after="240" w:afterAutospacing="0" w:line="259" w:lineRule="auto"/>
              <w:textAlignment w:val="baseline"/>
              <w:rPr>
                <w:rFonts w:ascii="Calibri" w:hAnsi="Calibri" w:cs="Calibri"/>
                <w:color w:val="000000"/>
                <w:sz w:val="24"/>
                <w:szCs w:val="24"/>
              </w:rPr>
            </w:pPr>
            <w:r w:rsidRPr="00892C40">
              <w:rPr>
                <w:rFonts w:ascii="Calibri" w:hAnsi="Calibri" w:cs="Calibri"/>
                <w:color w:val="000000"/>
                <w:sz w:val="24"/>
                <w:szCs w:val="24"/>
              </w:rPr>
              <w:t xml:space="preserve">Using paraprofessionals as tutors provided slightly less effectiveness than </w:t>
            </w:r>
            <w:proofErr w:type="gramStart"/>
            <w:r w:rsidRPr="00892C40">
              <w:rPr>
                <w:rFonts w:ascii="Calibri" w:hAnsi="Calibri" w:cs="Calibri"/>
                <w:color w:val="000000"/>
                <w:sz w:val="24"/>
                <w:szCs w:val="24"/>
              </w:rPr>
              <w:t>teachers, but</w:t>
            </w:r>
            <w:proofErr w:type="gramEnd"/>
            <w:r w:rsidRPr="00892C40">
              <w:rPr>
                <w:rFonts w:ascii="Calibri" w:hAnsi="Calibri" w:cs="Calibri"/>
                <w:color w:val="000000"/>
                <w:sz w:val="24"/>
                <w:szCs w:val="24"/>
              </w:rPr>
              <w:t xml:space="preserve"> still provided a significant positive impact on academic achievement.</w:t>
            </w:r>
          </w:p>
          <w:p w14:paraId="2C1435E6" w14:textId="54429277" w:rsidR="005B3EDC" w:rsidRPr="00892C40" w:rsidRDefault="005B3EDC" w:rsidP="00892C40">
            <w:pPr>
              <w:spacing w:after="0"/>
              <w:ind w:left="0" w:right="0"/>
              <w:rPr>
                <w:szCs w:val="24"/>
              </w:rPr>
            </w:pPr>
            <w:r w:rsidRPr="00892C40">
              <w:rPr>
                <w:rFonts w:cs="Calibri"/>
                <w:color w:val="000000"/>
                <w:szCs w:val="24"/>
              </w:rPr>
              <w:t xml:space="preserve">Using community members, such as college students, or parents resulted in a small positive impact. When using community members or parents, there is a need for additional training and supervision </w:t>
            </w:r>
            <w:proofErr w:type="gramStart"/>
            <w:r w:rsidRPr="00892C40">
              <w:rPr>
                <w:rFonts w:cs="Calibri"/>
                <w:color w:val="000000"/>
                <w:szCs w:val="24"/>
              </w:rPr>
              <w:t>in order to</w:t>
            </w:r>
            <w:proofErr w:type="gramEnd"/>
            <w:r w:rsidRPr="00892C40">
              <w:rPr>
                <w:rFonts w:cs="Calibri"/>
                <w:color w:val="000000"/>
                <w:szCs w:val="24"/>
              </w:rPr>
              <w:t xml:space="preserve"> achieve results.</w:t>
            </w:r>
          </w:p>
        </w:tc>
      </w:tr>
      <w:tr w:rsidR="005B3EDC" w:rsidRPr="00CF6BAD" w14:paraId="39D9E3E1" w14:textId="77777777" w:rsidTr="005B3EDC">
        <w:tc>
          <w:tcPr>
            <w:tcW w:w="1800" w:type="dxa"/>
            <w:shd w:val="clear" w:color="auto" w:fill="auto"/>
            <w:tcMar>
              <w:top w:w="100" w:type="dxa"/>
              <w:left w:w="100" w:type="dxa"/>
              <w:bottom w:w="100" w:type="dxa"/>
              <w:right w:w="100" w:type="dxa"/>
            </w:tcMar>
          </w:tcPr>
          <w:p w14:paraId="7C8E6A68" w14:textId="18F9CBA8" w:rsidR="005B3EDC" w:rsidRPr="00892C40" w:rsidRDefault="005B3EDC" w:rsidP="005B3EDC">
            <w:pPr>
              <w:ind w:left="0" w:right="0"/>
              <w:rPr>
                <w:i/>
                <w:iCs/>
                <w:szCs w:val="24"/>
              </w:rPr>
            </w:pPr>
            <w:r w:rsidRPr="00892C40">
              <w:rPr>
                <w:rFonts w:cs="Calibri"/>
                <w:color w:val="000000"/>
                <w:szCs w:val="24"/>
              </w:rPr>
              <w:t>Determine Content Area(s)</w:t>
            </w:r>
          </w:p>
        </w:tc>
        <w:tc>
          <w:tcPr>
            <w:tcW w:w="8840" w:type="dxa"/>
            <w:shd w:val="clear" w:color="auto" w:fill="auto"/>
            <w:tcMar>
              <w:top w:w="100" w:type="dxa"/>
              <w:left w:w="100" w:type="dxa"/>
              <w:bottom w:w="100" w:type="dxa"/>
              <w:right w:w="100" w:type="dxa"/>
            </w:tcMar>
          </w:tcPr>
          <w:p w14:paraId="42069923" w14:textId="77777777" w:rsidR="005B3EDC" w:rsidRPr="00892C40" w:rsidRDefault="005B3EDC" w:rsidP="005B3EDC">
            <w:pPr>
              <w:pStyle w:val="NormalWeb"/>
              <w:spacing w:before="0" w:beforeAutospacing="0" w:after="0" w:afterAutospacing="0" w:line="259" w:lineRule="auto"/>
              <w:rPr>
                <w:sz w:val="24"/>
                <w:szCs w:val="24"/>
              </w:rPr>
            </w:pPr>
            <w:r w:rsidRPr="00892C40">
              <w:rPr>
                <w:rFonts w:ascii="Calibri" w:hAnsi="Calibri" w:cs="Calibri"/>
                <w:color w:val="000000"/>
                <w:sz w:val="24"/>
                <w:szCs w:val="24"/>
              </w:rPr>
              <w:t>Tutoring in reading has a greater positive impact on younger students compared to older students.</w:t>
            </w:r>
          </w:p>
          <w:p w14:paraId="122DBAE5" w14:textId="77777777" w:rsidR="005B3EDC" w:rsidRPr="00892C40" w:rsidRDefault="005B3EDC" w:rsidP="005B3EDC">
            <w:pPr>
              <w:pStyle w:val="NormalWeb"/>
              <w:numPr>
                <w:ilvl w:val="0"/>
                <w:numId w:val="12"/>
              </w:numPr>
              <w:spacing w:before="0" w:beforeAutospacing="0" w:after="0" w:afterAutospacing="0" w:line="259" w:lineRule="auto"/>
              <w:textAlignment w:val="baseline"/>
              <w:rPr>
                <w:rFonts w:ascii="Calibri" w:hAnsi="Calibri" w:cs="Calibri"/>
                <w:color w:val="000000"/>
                <w:sz w:val="24"/>
                <w:szCs w:val="24"/>
              </w:rPr>
            </w:pPr>
            <w:r w:rsidRPr="00892C40">
              <w:rPr>
                <w:rFonts w:ascii="Calibri" w:hAnsi="Calibri" w:cs="Calibri"/>
                <w:color w:val="000000"/>
                <w:sz w:val="24"/>
                <w:szCs w:val="24"/>
              </w:rPr>
              <w:t>Reading tutoring has a moderate positive impact for preschoolers and kindergarten students. </w:t>
            </w:r>
          </w:p>
          <w:p w14:paraId="7F679B3C" w14:textId="77777777" w:rsidR="005B3EDC" w:rsidRPr="00892C40" w:rsidRDefault="005B3EDC" w:rsidP="005B3EDC">
            <w:pPr>
              <w:pStyle w:val="NormalWeb"/>
              <w:numPr>
                <w:ilvl w:val="0"/>
                <w:numId w:val="12"/>
              </w:numPr>
              <w:spacing w:before="0" w:beforeAutospacing="0" w:after="0" w:afterAutospacing="0" w:line="259" w:lineRule="auto"/>
              <w:textAlignment w:val="baseline"/>
              <w:rPr>
                <w:rFonts w:ascii="Calibri" w:hAnsi="Calibri" w:cs="Calibri"/>
                <w:color w:val="000000"/>
                <w:sz w:val="24"/>
                <w:szCs w:val="24"/>
              </w:rPr>
            </w:pPr>
            <w:r w:rsidRPr="00892C40">
              <w:rPr>
                <w:rFonts w:ascii="Calibri" w:hAnsi="Calibri" w:cs="Calibri"/>
                <w:color w:val="000000"/>
                <w:sz w:val="24"/>
                <w:szCs w:val="24"/>
              </w:rPr>
              <w:t>There is slightly less, but still a significant positive impact of reading tutoring for first grade students. </w:t>
            </w:r>
          </w:p>
          <w:p w14:paraId="44BB47E7" w14:textId="77777777" w:rsidR="005B3EDC" w:rsidRPr="00892C40" w:rsidRDefault="005B3EDC" w:rsidP="005B3EDC">
            <w:pPr>
              <w:pStyle w:val="NormalWeb"/>
              <w:numPr>
                <w:ilvl w:val="0"/>
                <w:numId w:val="12"/>
              </w:numPr>
              <w:spacing w:before="0" w:beforeAutospacing="0" w:after="0" w:afterAutospacing="0" w:line="259" w:lineRule="auto"/>
              <w:textAlignment w:val="baseline"/>
              <w:rPr>
                <w:rFonts w:ascii="Calibri" w:hAnsi="Calibri" w:cs="Calibri"/>
                <w:color w:val="000000"/>
                <w:sz w:val="24"/>
                <w:szCs w:val="24"/>
              </w:rPr>
            </w:pPr>
            <w:r w:rsidRPr="00892C40">
              <w:rPr>
                <w:rFonts w:ascii="Calibri" w:hAnsi="Calibri" w:cs="Calibri"/>
                <w:color w:val="000000"/>
                <w:sz w:val="24"/>
                <w:szCs w:val="24"/>
              </w:rPr>
              <w:t>There is a small but positive impact of reading tutoring for students in second through fifth grade. </w:t>
            </w:r>
          </w:p>
          <w:p w14:paraId="3D0BC12E" w14:textId="50976EF6" w:rsidR="005B3EDC" w:rsidRPr="00892C40" w:rsidRDefault="005B3EDC" w:rsidP="00892C40">
            <w:pPr>
              <w:pStyle w:val="NormalWeb"/>
              <w:numPr>
                <w:ilvl w:val="0"/>
                <w:numId w:val="12"/>
              </w:numPr>
              <w:spacing w:before="0" w:beforeAutospacing="0" w:after="240" w:afterAutospacing="0" w:line="259" w:lineRule="auto"/>
              <w:textAlignment w:val="baseline"/>
              <w:rPr>
                <w:rFonts w:ascii="Calibri" w:hAnsi="Calibri" w:cs="Calibri"/>
                <w:color w:val="000000"/>
                <w:sz w:val="24"/>
                <w:szCs w:val="24"/>
              </w:rPr>
            </w:pPr>
            <w:r w:rsidRPr="00892C40">
              <w:rPr>
                <w:rFonts w:ascii="Calibri" w:hAnsi="Calibri" w:cs="Calibri"/>
                <w:color w:val="000000"/>
                <w:sz w:val="24"/>
                <w:szCs w:val="24"/>
              </w:rPr>
              <w:t>There is a slight increased impact for middle and high school students receiving reading tutoring.</w:t>
            </w:r>
          </w:p>
          <w:p w14:paraId="06FED8B5" w14:textId="77777777" w:rsidR="005B3EDC" w:rsidRPr="00892C40" w:rsidRDefault="005B3EDC" w:rsidP="005B3EDC">
            <w:pPr>
              <w:pStyle w:val="NormalWeb"/>
              <w:spacing w:before="0" w:beforeAutospacing="0" w:after="0" w:afterAutospacing="0" w:line="259" w:lineRule="auto"/>
              <w:rPr>
                <w:sz w:val="24"/>
                <w:szCs w:val="24"/>
              </w:rPr>
            </w:pPr>
            <w:r w:rsidRPr="00892C40">
              <w:rPr>
                <w:rFonts w:ascii="Calibri" w:hAnsi="Calibri" w:cs="Calibri"/>
                <w:color w:val="000000"/>
                <w:sz w:val="24"/>
                <w:szCs w:val="24"/>
              </w:rPr>
              <w:t>Tutoring in math has a greater positive impact on older students compared to younger students.</w:t>
            </w:r>
          </w:p>
          <w:p w14:paraId="79CC46CE" w14:textId="77777777" w:rsidR="005B3EDC" w:rsidRPr="00892C40" w:rsidRDefault="005B3EDC" w:rsidP="005B3EDC">
            <w:pPr>
              <w:pStyle w:val="NormalWeb"/>
              <w:numPr>
                <w:ilvl w:val="0"/>
                <w:numId w:val="13"/>
              </w:numPr>
              <w:spacing w:before="0" w:beforeAutospacing="0" w:after="0" w:afterAutospacing="0" w:line="259" w:lineRule="auto"/>
              <w:textAlignment w:val="baseline"/>
              <w:rPr>
                <w:rFonts w:ascii="Calibri" w:hAnsi="Calibri" w:cs="Calibri"/>
                <w:color w:val="000000"/>
                <w:sz w:val="24"/>
                <w:szCs w:val="24"/>
              </w:rPr>
            </w:pPr>
            <w:r w:rsidRPr="00892C40">
              <w:rPr>
                <w:rFonts w:ascii="Calibri" w:hAnsi="Calibri" w:cs="Calibri"/>
                <w:color w:val="000000"/>
                <w:sz w:val="24"/>
                <w:szCs w:val="24"/>
              </w:rPr>
              <w:t xml:space="preserve">Math tutoring has a moderate positive impact </w:t>
            </w:r>
            <w:proofErr w:type="gramStart"/>
            <w:r w:rsidRPr="00892C40">
              <w:rPr>
                <w:rFonts w:ascii="Calibri" w:hAnsi="Calibri" w:cs="Calibri"/>
                <w:color w:val="000000"/>
                <w:sz w:val="24"/>
                <w:szCs w:val="24"/>
              </w:rPr>
              <w:t>for</w:t>
            </w:r>
            <w:proofErr w:type="gramEnd"/>
            <w:r w:rsidRPr="00892C40">
              <w:rPr>
                <w:rFonts w:ascii="Calibri" w:hAnsi="Calibri" w:cs="Calibri"/>
                <w:color w:val="000000"/>
                <w:sz w:val="24"/>
                <w:szCs w:val="24"/>
              </w:rPr>
              <w:t xml:space="preserve"> students in preschool and kindergarten</w:t>
            </w:r>
          </w:p>
          <w:p w14:paraId="2CC54FBD" w14:textId="77777777" w:rsidR="005B3EDC" w:rsidRPr="00892C40" w:rsidRDefault="005B3EDC" w:rsidP="005B3EDC">
            <w:pPr>
              <w:pStyle w:val="NormalWeb"/>
              <w:numPr>
                <w:ilvl w:val="0"/>
                <w:numId w:val="13"/>
              </w:numPr>
              <w:spacing w:before="0" w:beforeAutospacing="0" w:after="0" w:afterAutospacing="0" w:line="259" w:lineRule="auto"/>
              <w:textAlignment w:val="baseline"/>
              <w:rPr>
                <w:rFonts w:ascii="Calibri" w:hAnsi="Calibri" w:cs="Calibri"/>
                <w:color w:val="000000"/>
                <w:sz w:val="24"/>
                <w:szCs w:val="24"/>
              </w:rPr>
            </w:pPr>
            <w:r w:rsidRPr="00892C40">
              <w:rPr>
                <w:rFonts w:ascii="Calibri" w:hAnsi="Calibri" w:cs="Calibri"/>
                <w:color w:val="000000"/>
                <w:sz w:val="24"/>
                <w:szCs w:val="24"/>
              </w:rPr>
              <w:t>There is a slightly less moderate impact on students in first grade.</w:t>
            </w:r>
          </w:p>
          <w:p w14:paraId="2890C5BA" w14:textId="77777777" w:rsidR="005B3EDC" w:rsidRPr="00892C40" w:rsidRDefault="005B3EDC" w:rsidP="00892C40">
            <w:pPr>
              <w:pStyle w:val="NormalWeb"/>
              <w:numPr>
                <w:ilvl w:val="0"/>
                <w:numId w:val="13"/>
              </w:numPr>
              <w:spacing w:before="0" w:beforeAutospacing="0" w:after="240" w:afterAutospacing="0" w:line="259" w:lineRule="auto"/>
              <w:textAlignment w:val="baseline"/>
              <w:rPr>
                <w:rFonts w:ascii="Calibri" w:hAnsi="Calibri" w:cs="Calibri"/>
                <w:color w:val="000000"/>
                <w:sz w:val="24"/>
                <w:szCs w:val="24"/>
              </w:rPr>
            </w:pPr>
            <w:r w:rsidRPr="00892C40">
              <w:rPr>
                <w:rFonts w:ascii="Calibri" w:hAnsi="Calibri" w:cs="Calibri"/>
                <w:color w:val="000000"/>
                <w:sz w:val="24"/>
                <w:szCs w:val="24"/>
              </w:rPr>
              <w:t>The positive impact of math tutoring increases to a moderate level for students in second through fifth grade. </w:t>
            </w:r>
          </w:p>
          <w:p w14:paraId="7E951F2C" w14:textId="54FE2FA9" w:rsidR="005B3EDC" w:rsidRPr="00892C40" w:rsidRDefault="005B3EDC" w:rsidP="00892C40">
            <w:pPr>
              <w:spacing w:after="0"/>
              <w:ind w:left="0" w:right="0"/>
              <w:rPr>
                <w:szCs w:val="24"/>
              </w:rPr>
            </w:pPr>
            <w:r w:rsidRPr="00892C40">
              <w:rPr>
                <w:rFonts w:cs="Calibri"/>
                <w:color w:val="000000"/>
                <w:szCs w:val="24"/>
              </w:rPr>
              <w:t xml:space="preserve">On average, there is a small positive impact for middle and high school students receiving general math tutoring although there is research that refers to greater positive </w:t>
            </w:r>
            <w:r w:rsidRPr="00892C40">
              <w:rPr>
                <w:rFonts w:cs="Calibri"/>
                <w:color w:val="000000"/>
                <w:szCs w:val="24"/>
              </w:rPr>
              <w:lastRenderedPageBreak/>
              <w:t>impacts for middle and high school students when students participate in high dosage tutoring as defined.</w:t>
            </w:r>
          </w:p>
        </w:tc>
      </w:tr>
      <w:tr w:rsidR="005B3EDC" w:rsidRPr="00CF6BAD" w14:paraId="45271CBE" w14:textId="77777777" w:rsidTr="005B3EDC">
        <w:tc>
          <w:tcPr>
            <w:tcW w:w="1800" w:type="dxa"/>
            <w:shd w:val="clear" w:color="auto" w:fill="auto"/>
            <w:tcMar>
              <w:top w:w="100" w:type="dxa"/>
              <w:left w:w="100" w:type="dxa"/>
              <w:bottom w:w="100" w:type="dxa"/>
              <w:right w:w="100" w:type="dxa"/>
            </w:tcMar>
          </w:tcPr>
          <w:p w14:paraId="0016C51A" w14:textId="36773DFD" w:rsidR="005B3EDC" w:rsidRPr="00892C40" w:rsidRDefault="005B3EDC" w:rsidP="00892C40">
            <w:pPr>
              <w:spacing w:after="0"/>
              <w:ind w:left="0" w:right="0"/>
              <w:rPr>
                <w:i/>
                <w:iCs/>
                <w:szCs w:val="24"/>
              </w:rPr>
            </w:pPr>
            <w:r w:rsidRPr="00892C40">
              <w:rPr>
                <w:rFonts w:cs="Calibri"/>
                <w:b/>
                <w:bCs/>
                <w:color w:val="000000"/>
                <w:szCs w:val="24"/>
              </w:rPr>
              <w:lastRenderedPageBreak/>
              <w:t>Core Component Deliverable</w:t>
            </w:r>
          </w:p>
        </w:tc>
        <w:tc>
          <w:tcPr>
            <w:tcW w:w="8840" w:type="dxa"/>
            <w:shd w:val="clear" w:color="auto" w:fill="auto"/>
            <w:tcMar>
              <w:top w:w="100" w:type="dxa"/>
              <w:left w:w="100" w:type="dxa"/>
              <w:bottom w:w="100" w:type="dxa"/>
              <w:right w:w="100" w:type="dxa"/>
            </w:tcMar>
          </w:tcPr>
          <w:p w14:paraId="049437A3" w14:textId="1791D35A" w:rsidR="005B3EDC" w:rsidRPr="00892C40" w:rsidRDefault="005B3EDC" w:rsidP="00892C40">
            <w:pPr>
              <w:spacing w:after="0"/>
              <w:ind w:left="0" w:right="0"/>
              <w:rPr>
                <w:szCs w:val="24"/>
              </w:rPr>
            </w:pPr>
            <w:proofErr w:type="gramStart"/>
            <w:r w:rsidRPr="00892C40">
              <w:rPr>
                <w:rFonts w:cs="Calibri"/>
                <w:color w:val="000000"/>
                <w:szCs w:val="24"/>
              </w:rPr>
              <w:t>Written</w:t>
            </w:r>
            <w:proofErr w:type="gramEnd"/>
            <w:r w:rsidRPr="00892C40">
              <w:rPr>
                <w:rFonts w:cs="Calibri"/>
                <w:color w:val="000000"/>
                <w:szCs w:val="24"/>
              </w:rPr>
              <w:t xml:space="preserve"> plan for High Dosage Tutoring has been developed, including vision, schedule, students, student groups, content and tutors.</w:t>
            </w:r>
          </w:p>
        </w:tc>
      </w:tr>
    </w:tbl>
    <w:p w14:paraId="0FB8C3C7" w14:textId="3AD82207" w:rsidR="00CF6BAD" w:rsidRDefault="00CF6BAD" w:rsidP="00F94302">
      <w:pPr>
        <w:pStyle w:val="Heading3"/>
      </w:pPr>
      <w:r>
        <w:t>Core Component 2:</w:t>
      </w:r>
      <w:r w:rsidR="004F384D" w:rsidRPr="0037003F">
        <w:t xml:space="preserve"> </w:t>
      </w:r>
      <w:r w:rsidR="004F384D" w:rsidRPr="00FB002C">
        <w:rPr>
          <w:bCs/>
        </w:rPr>
        <w:t>Implementation of</w:t>
      </w:r>
      <w:r w:rsidR="004F384D">
        <w:t xml:space="preserve"> </w:t>
      </w:r>
      <w:r w:rsidR="004F384D" w:rsidRPr="00FB002C">
        <w:rPr>
          <w:bCs/>
        </w:rPr>
        <w:t>Aligned and Data-Driven Instruction</w:t>
      </w:r>
    </w:p>
    <w:p w14:paraId="49798BB0" w14:textId="77777777" w:rsidR="004B5F27" w:rsidRPr="004B5F27" w:rsidRDefault="004B5F27" w:rsidP="004B5F27">
      <w:pPr>
        <w:rPr>
          <w:i/>
          <w:iCs/>
        </w:rPr>
      </w:pPr>
      <w:r w:rsidRPr="004B5F27">
        <w:rPr>
          <w:i/>
          <w:iCs/>
        </w:rPr>
        <w:t>Tutors should implement and progress monitor the High Dosage Tutoring plan as indicated.  </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8840"/>
      </w:tblGrid>
      <w:tr w:rsidR="00CF6BAD" w:rsidRPr="00CF6BAD" w14:paraId="58E247C0" w14:textId="77777777" w:rsidTr="00CF472F">
        <w:trPr>
          <w:tblHeader/>
        </w:trPr>
        <w:tc>
          <w:tcPr>
            <w:tcW w:w="1800" w:type="dxa"/>
            <w:shd w:val="clear" w:color="auto" w:fill="F3F3F3"/>
            <w:tcMar>
              <w:top w:w="100" w:type="dxa"/>
              <w:left w:w="100" w:type="dxa"/>
              <w:bottom w:w="100" w:type="dxa"/>
              <w:right w:w="100" w:type="dxa"/>
            </w:tcMar>
          </w:tcPr>
          <w:p w14:paraId="3E3B5BF2" w14:textId="77777777" w:rsidR="00CF6BAD" w:rsidRPr="00CF6BAD" w:rsidRDefault="00CF6BAD" w:rsidP="00373C64">
            <w:pPr>
              <w:spacing w:after="0"/>
              <w:ind w:left="0" w:right="0"/>
              <w:rPr>
                <w:b/>
                <w:bCs/>
              </w:rPr>
            </w:pPr>
            <w:r w:rsidRPr="00CF6BAD">
              <w:rPr>
                <w:b/>
                <w:bCs/>
              </w:rPr>
              <w:t>Elements or Activities</w:t>
            </w:r>
          </w:p>
        </w:tc>
        <w:tc>
          <w:tcPr>
            <w:tcW w:w="8840" w:type="dxa"/>
            <w:shd w:val="clear" w:color="auto" w:fill="F3F3F3"/>
            <w:tcMar>
              <w:top w:w="100" w:type="dxa"/>
              <w:left w:w="100" w:type="dxa"/>
              <w:bottom w:w="100" w:type="dxa"/>
              <w:right w:w="100" w:type="dxa"/>
            </w:tcMar>
          </w:tcPr>
          <w:p w14:paraId="064324AA" w14:textId="77777777" w:rsidR="00CF6BAD" w:rsidRPr="00CF6BAD" w:rsidRDefault="00CF6BAD" w:rsidP="00373C64">
            <w:pPr>
              <w:ind w:left="0" w:right="0"/>
              <w:rPr>
                <w:b/>
                <w:bCs/>
              </w:rPr>
            </w:pPr>
            <w:r w:rsidRPr="00CF6BAD">
              <w:rPr>
                <w:b/>
                <w:bCs/>
              </w:rPr>
              <w:t xml:space="preserve"> Description</w:t>
            </w:r>
          </w:p>
        </w:tc>
      </w:tr>
      <w:tr w:rsidR="00CF472F" w:rsidRPr="00CF6BAD" w14:paraId="08F2A36B" w14:textId="77777777" w:rsidTr="00CF472F">
        <w:tc>
          <w:tcPr>
            <w:tcW w:w="1800" w:type="dxa"/>
            <w:shd w:val="clear" w:color="auto" w:fill="auto"/>
            <w:tcMar>
              <w:top w:w="100" w:type="dxa"/>
              <w:left w:w="100" w:type="dxa"/>
              <w:bottom w:w="100" w:type="dxa"/>
              <w:right w:w="100" w:type="dxa"/>
            </w:tcMar>
          </w:tcPr>
          <w:p w14:paraId="7BE78137" w14:textId="675AC1D1" w:rsidR="00CF472F" w:rsidRPr="00CF6BAD" w:rsidRDefault="00CF472F" w:rsidP="00CF472F">
            <w:pPr>
              <w:spacing w:after="0"/>
              <w:ind w:left="0" w:right="0"/>
              <w:rPr>
                <w:i/>
                <w:iCs/>
              </w:rPr>
            </w:pPr>
            <w:r>
              <w:rPr>
                <w:rFonts w:cs="Calibri"/>
                <w:color w:val="000000"/>
              </w:rPr>
              <w:t>Ensure Match between Student Needs and Tutoring Content</w:t>
            </w:r>
          </w:p>
        </w:tc>
        <w:tc>
          <w:tcPr>
            <w:tcW w:w="8840" w:type="dxa"/>
            <w:shd w:val="clear" w:color="auto" w:fill="auto"/>
            <w:tcMar>
              <w:top w:w="100" w:type="dxa"/>
              <w:left w:w="100" w:type="dxa"/>
              <w:bottom w:w="100" w:type="dxa"/>
              <w:right w:w="100" w:type="dxa"/>
            </w:tcMar>
          </w:tcPr>
          <w:p w14:paraId="2EE9E3CD" w14:textId="2DFBDFCC" w:rsidR="00CF472F" w:rsidRDefault="00CF472F" w:rsidP="00CF472F">
            <w:pPr>
              <w:pStyle w:val="NormalWeb"/>
              <w:spacing w:before="0" w:beforeAutospacing="0" w:after="240" w:afterAutospacing="0" w:line="259" w:lineRule="auto"/>
            </w:pPr>
            <w:r>
              <w:rPr>
                <w:rFonts w:ascii="Calibri" w:hAnsi="Calibri" w:cs="Calibri"/>
                <w:color w:val="000000"/>
              </w:rPr>
              <w:t>High Dosage Tutoring is more likely to positively impact student achievement when the instructional content of tutoring closely matches the students’ needs. Tutors use results from students’ diagnostic assessments to determine instructional content during tutoring.</w:t>
            </w:r>
          </w:p>
          <w:p w14:paraId="7B550D78" w14:textId="5DD50111" w:rsidR="00CF472F" w:rsidRPr="00CF6BAD" w:rsidRDefault="00CF472F" w:rsidP="00CF472F">
            <w:pPr>
              <w:spacing w:after="0"/>
              <w:ind w:left="0" w:right="0"/>
            </w:pPr>
            <w:r>
              <w:rPr>
                <w:rFonts w:cs="Calibri"/>
                <w:color w:val="000000"/>
              </w:rPr>
              <w:t>Instructional content during tutoring reinforces the core content taught in the regular classroom. Tutoring programs have systems to regularly communicate what is being taught in the classroom and current performance and misconceptions of students to ensure that tutors can support current classroom instruction.</w:t>
            </w:r>
          </w:p>
        </w:tc>
      </w:tr>
      <w:tr w:rsidR="00CF472F" w:rsidRPr="00CF6BAD" w14:paraId="256BDE6F" w14:textId="77777777" w:rsidTr="00CF472F">
        <w:tc>
          <w:tcPr>
            <w:tcW w:w="1800" w:type="dxa"/>
            <w:shd w:val="clear" w:color="auto" w:fill="auto"/>
            <w:tcMar>
              <w:top w:w="100" w:type="dxa"/>
              <w:left w:w="100" w:type="dxa"/>
              <w:bottom w:w="100" w:type="dxa"/>
              <w:right w:w="100" w:type="dxa"/>
            </w:tcMar>
          </w:tcPr>
          <w:p w14:paraId="5F73E5DC" w14:textId="4F96E1F6" w:rsidR="00CF472F" w:rsidRDefault="00CF472F" w:rsidP="00CF472F">
            <w:pPr>
              <w:spacing w:after="0"/>
              <w:ind w:left="0" w:right="0"/>
              <w:rPr>
                <w:i/>
                <w:iCs/>
              </w:rPr>
            </w:pPr>
            <w:r>
              <w:rPr>
                <w:rFonts w:cs="Calibri"/>
                <w:color w:val="000000"/>
              </w:rPr>
              <w:t>Implement &amp; Analyze Frequent Assessments</w:t>
            </w:r>
          </w:p>
        </w:tc>
        <w:tc>
          <w:tcPr>
            <w:tcW w:w="8840" w:type="dxa"/>
            <w:shd w:val="clear" w:color="auto" w:fill="auto"/>
            <w:tcMar>
              <w:top w:w="100" w:type="dxa"/>
              <w:left w:w="100" w:type="dxa"/>
              <w:bottom w:w="100" w:type="dxa"/>
              <w:right w:w="100" w:type="dxa"/>
            </w:tcMar>
          </w:tcPr>
          <w:p w14:paraId="7C460647" w14:textId="6A676CB6" w:rsidR="00CF472F" w:rsidRDefault="00CF472F" w:rsidP="00CF472F">
            <w:pPr>
              <w:spacing w:after="0"/>
              <w:ind w:left="0" w:right="0"/>
            </w:pPr>
            <w:r>
              <w:rPr>
                <w:rFonts w:cs="Calibri"/>
                <w:color w:val="000000"/>
              </w:rPr>
              <w:t xml:space="preserve">Student learning is assessed frequently </w:t>
            </w:r>
            <w:proofErr w:type="gramStart"/>
            <w:r>
              <w:rPr>
                <w:rFonts w:cs="Calibri"/>
                <w:color w:val="000000"/>
              </w:rPr>
              <w:t>in order to</w:t>
            </w:r>
            <w:proofErr w:type="gramEnd"/>
            <w:r>
              <w:rPr>
                <w:rFonts w:cs="Calibri"/>
                <w:color w:val="000000"/>
              </w:rPr>
              <w:t xml:space="preserve"> gauge the impact of previous tutoring content as well as determine subsequent tutoring content.</w:t>
            </w:r>
          </w:p>
        </w:tc>
      </w:tr>
      <w:tr w:rsidR="00CF472F" w:rsidRPr="00CF6BAD" w14:paraId="6846F921" w14:textId="77777777" w:rsidTr="00CF472F">
        <w:tc>
          <w:tcPr>
            <w:tcW w:w="1800" w:type="dxa"/>
            <w:shd w:val="clear" w:color="auto" w:fill="auto"/>
            <w:tcMar>
              <w:top w:w="100" w:type="dxa"/>
              <w:left w:w="100" w:type="dxa"/>
              <w:bottom w:w="100" w:type="dxa"/>
              <w:right w:w="100" w:type="dxa"/>
            </w:tcMar>
          </w:tcPr>
          <w:p w14:paraId="36411FEB" w14:textId="1CC273DC" w:rsidR="00CF472F" w:rsidRDefault="00CF472F" w:rsidP="00CF472F">
            <w:pPr>
              <w:spacing w:after="0"/>
              <w:ind w:left="0" w:right="0"/>
              <w:rPr>
                <w:i/>
                <w:iCs/>
              </w:rPr>
            </w:pPr>
            <w:r>
              <w:rPr>
                <w:rFonts w:cs="Calibri"/>
                <w:b/>
                <w:bCs/>
                <w:color w:val="000000"/>
              </w:rPr>
              <w:t>Core Component Outcome</w:t>
            </w:r>
          </w:p>
        </w:tc>
        <w:tc>
          <w:tcPr>
            <w:tcW w:w="8840" w:type="dxa"/>
            <w:shd w:val="clear" w:color="auto" w:fill="auto"/>
            <w:tcMar>
              <w:top w:w="100" w:type="dxa"/>
              <w:left w:w="100" w:type="dxa"/>
              <w:bottom w:w="100" w:type="dxa"/>
              <w:right w:w="100" w:type="dxa"/>
            </w:tcMar>
          </w:tcPr>
          <w:p w14:paraId="7B723ACE" w14:textId="6AE38E6B" w:rsidR="00CF472F" w:rsidRDefault="00CF472F" w:rsidP="00CF472F">
            <w:pPr>
              <w:spacing w:after="0"/>
              <w:ind w:left="0" w:right="0"/>
            </w:pPr>
            <w:r>
              <w:rPr>
                <w:rFonts w:cs="Calibri"/>
                <w:color w:val="000000"/>
              </w:rPr>
              <w:t>Degree of fidelity around implementation, including level of communication between tutors and classroom teachers</w:t>
            </w:r>
          </w:p>
        </w:tc>
      </w:tr>
    </w:tbl>
    <w:p w14:paraId="37C8DDF2" w14:textId="77777777" w:rsidR="00CF6BAD" w:rsidRDefault="00CF6BAD" w:rsidP="00CF6BAD"/>
    <w:p w14:paraId="2C7E404E" w14:textId="6D0CC239" w:rsidR="00CF6BAD" w:rsidRDefault="00CF6BAD" w:rsidP="00CF6BAD">
      <w:pPr>
        <w:pStyle w:val="Heading2"/>
      </w:pPr>
      <w:r>
        <w:t>Guidance for Implementation</w:t>
      </w:r>
    </w:p>
    <w:tbl>
      <w:tblPr>
        <w:tblW w:w="106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8750"/>
      </w:tblGrid>
      <w:tr w:rsidR="00EB3CEF" w:rsidRPr="00CF6BAD" w14:paraId="37074FAA" w14:textId="77777777" w:rsidTr="006B4EE6">
        <w:trPr>
          <w:tblHeader/>
        </w:trPr>
        <w:tc>
          <w:tcPr>
            <w:tcW w:w="1890" w:type="dxa"/>
            <w:shd w:val="clear" w:color="auto" w:fill="F3F3F3"/>
          </w:tcPr>
          <w:p w14:paraId="5F770AEC" w14:textId="4227B1CE" w:rsidR="00EB3CEF" w:rsidRPr="00CF6BAD" w:rsidRDefault="00EB3CEF" w:rsidP="00EB3CEF">
            <w:pPr>
              <w:spacing w:after="0"/>
              <w:ind w:left="0" w:right="0"/>
              <w:rPr>
                <w:b/>
                <w:bCs/>
              </w:rPr>
            </w:pPr>
            <w:r w:rsidRPr="00B71B5A">
              <w:rPr>
                <w:b/>
                <w:bCs/>
              </w:rPr>
              <w:t>Implementation Element</w:t>
            </w:r>
          </w:p>
        </w:tc>
        <w:tc>
          <w:tcPr>
            <w:tcW w:w="8750" w:type="dxa"/>
            <w:shd w:val="clear" w:color="auto" w:fill="F3F3F3"/>
            <w:tcMar>
              <w:top w:w="100" w:type="dxa"/>
              <w:left w:w="100" w:type="dxa"/>
              <w:bottom w:w="100" w:type="dxa"/>
              <w:right w:w="100" w:type="dxa"/>
            </w:tcMar>
          </w:tcPr>
          <w:p w14:paraId="546B64D0" w14:textId="77777777" w:rsidR="00EB3CEF" w:rsidRPr="00CF6BAD" w:rsidRDefault="00EB3CEF" w:rsidP="00EB3CEF">
            <w:pPr>
              <w:ind w:left="0" w:right="0"/>
              <w:rPr>
                <w:b/>
                <w:bCs/>
              </w:rPr>
            </w:pPr>
            <w:r w:rsidRPr="00CF6BAD">
              <w:rPr>
                <w:b/>
                <w:bCs/>
              </w:rPr>
              <w:t xml:space="preserve"> Description</w:t>
            </w:r>
          </w:p>
        </w:tc>
      </w:tr>
      <w:tr w:rsidR="00E14F7A" w:rsidRPr="00CF6BAD" w14:paraId="3CBFB4B0" w14:textId="77777777" w:rsidTr="00EB3CEF">
        <w:tc>
          <w:tcPr>
            <w:tcW w:w="1890" w:type="dxa"/>
          </w:tcPr>
          <w:p w14:paraId="3FCF4A5E" w14:textId="0CA86E78" w:rsidR="00E14F7A" w:rsidRPr="00E14F7A" w:rsidRDefault="00E14F7A" w:rsidP="00E14F7A">
            <w:pPr>
              <w:ind w:left="0" w:right="0"/>
              <w:rPr>
                <w:i/>
                <w:iCs/>
                <w:szCs w:val="24"/>
              </w:rPr>
            </w:pPr>
            <w:r w:rsidRPr="00E14F7A">
              <w:rPr>
                <w:rFonts w:cs="Calibri"/>
                <w:i/>
                <w:iCs/>
                <w:szCs w:val="24"/>
              </w:rPr>
              <w:t>Staffing and Teams</w:t>
            </w:r>
          </w:p>
        </w:tc>
        <w:tc>
          <w:tcPr>
            <w:tcW w:w="8750" w:type="dxa"/>
            <w:shd w:val="clear" w:color="auto" w:fill="auto"/>
            <w:tcMar>
              <w:top w:w="100" w:type="dxa"/>
              <w:left w:w="100" w:type="dxa"/>
              <w:bottom w:w="100" w:type="dxa"/>
              <w:right w:w="100" w:type="dxa"/>
            </w:tcMar>
          </w:tcPr>
          <w:p w14:paraId="5D560436" w14:textId="77777777" w:rsidR="00E14F7A" w:rsidRPr="00E14F7A" w:rsidRDefault="00E14F7A" w:rsidP="00E14F7A">
            <w:pPr>
              <w:pStyle w:val="NormalWeb"/>
              <w:spacing w:before="0" w:beforeAutospacing="0" w:after="0" w:afterAutospacing="0" w:line="259" w:lineRule="auto"/>
              <w:rPr>
                <w:sz w:val="24"/>
                <w:szCs w:val="24"/>
              </w:rPr>
            </w:pPr>
            <w:r w:rsidRPr="00E14F7A">
              <w:rPr>
                <w:rFonts w:ascii="Calibri" w:hAnsi="Calibri" w:cs="Calibri"/>
                <w:color w:val="000000"/>
                <w:sz w:val="24"/>
                <w:szCs w:val="24"/>
              </w:rPr>
              <w:t xml:space="preserve">Schools that used teachers as tutors generally have stronger results compared to schools that </w:t>
            </w:r>
            <w:proofErr w:type="gramStart"/>
            <w:r w:rsidRPr="00E14F7A">
              <w:rPr>
                <w:rFonts w:ascii="Calibri" w:hAnsi="Calibri" w:cs="Calibri"/>
                <w:color w:val="000000"/>
                <w:sz w:val="24"/>
                <w:szCs w:val="24"/>
              </w:rPr>
              <w:t>use</w:t>
            </w:r>
            <w:proofErr w:type="gramEnd"/>
            <w:r w:rsidRPr="00E14F7A">
              <w:rPr>
                <w:rFonts w:ascii="Calibri" w:hAnsi="Calibri" w:cs="Calibri"/>
                <w:color w:val="000000"/>
                <w:sz w:val="24"/>
                <w:szCs w:val="24"/>
              </w:rPr>
              <w:t xml:space="preserve"> others as tutors.</w:t>
            </w:r>
          </w:p>
          <w:p w14:paraId="47EC76B1" w14:textId="77777777" w:rsidR="00E14F7A" w:rsidRPr="00E14F7A" w:rsidRDefault="00E14F7A" w:rsidP="00E14F7A">
            <w:pPr>
              <w:pStyle w:val="NormalWeb"/>
              <w:numPr>
                <w:ilvl w:val="0"/>
                <w:numId w:val="14"/>
              </w:numPr>
              <w:spacing w:before="0" w:beforeAutospacing="0" w:after="0" w:afterAutospacing="0" w:line="259" w:lineRule="auto"/>
              <w:textAlignment w:val="baseline"/>
              <w:rPr>
                <w:rFonts w:ascii="Calibri" w:hAnsi="Calibri" w:cs="Calibri"/>
                <w:color w:val="000000"/>
                <w:sz w:val="24"/>
                <w:szCs w:val="24"/>
              </w:rPr>
            </w:pPr>
            <w:r w:rsidRPr="00E14F7A">
              <w:rPr>
                <w:rFonts w:ascii="Calibri" w:hAnsi="Calibri" w:cs="Calibri"/>
                <w:color w:val="000000"/>
                <w:sz w:val="24"/>
                <w:szCs w:val="24"/>
              </w:rPr>
              <w:t>Tutoring is most effective when teachers provide instruction. </w:t>
            </w:r>
          </w:p>
          <w:p w14:paraId="55922D6E" w14:textId="77777777" w:rsidR="00E14F7A" w:rsidRPr="00E14F7A" w:rsidRDefault="00E14F7A" w:rsidP="00E14F7A">
            <w:pPr>
              <w:pStyle w:val="NormalWeb"/>
              <w:numPr>
                <w:ilvl w:val="0"/>
                <w:numId w:val="14"/>
              </w:numPr>
              <w:spacing w:before="0" w:beforeAutospacing="0" w:after="0" w:afterAutospacing="0" w:line="259" w:lineRule="auto"/>
              <w:textAlignment w:val="baseline"/>
              <w:rPr>
                <w:rFonts w:ascii="Calibri" w:hAnsi="Calibri" w:cs="Calibri"/>
                <w:color w:val="000000"/>
                <w:sz w:val="24"/>
                <w:szCs w:val="24"/>
              </w:rPr>
            </w:pPr>
            <w:r w:rsidRPr="00E14F7A">
              <w:rPr>
                <w:rFonts w:ascii="Calibri" w:hAnsi="Calibri" w:cs="Calibri"/>
                <w:color w:val="000000"/>
                <w:sz w:val="24"/>
                <w:szCs w:val="24"/>
              </w:rPr>
              <w:t xml:space="preserve">Using paraprofessionals as tutors provided slightly less effectiveness than </w:t>
            </w:r>
            <w:proofErr w:type="gramStart"/>
            <w:r w:rsidRPr="00E14F7A">
              <w:rPr>
                <w:rFonts w:ascii="Calibri" w:hAnsi="Calibri" w:cs="Calibri"/>
                <w:color w:val="000000"/>
                <w:sz w:val="24"/>
                <w:szCs w:val="24"/>
              </w:rPr>
              <w:t>teachers, but</w:t>
            </w:r>
            <w:proofErr w:type="gramEnd"/>
            <w:r w:rsidRPr="00E14F7A">
              <w:rPr>
                <w:rFonts w:ascii="Calibri" w:hAnsi="Calibri" w:cs="Calibri"/>
                <w:color w:val="000000"/>
                <w:sz w:val="24"/>
                <w:szCs w:val="24"/>
              </w:rPr>
              <w:t xml:space="preserve"> still provided a significant positive impact on academic achievement.</w:t>
            </w:r>
          </w:p>
          <w:p w14:paraId="32247C42" w14:textId="63E5B996" w:rsidR="00E14F7A" w:rsidRPr="00E14F7A" w:rsidRDefault="00E14F7A" w:rsidP="00E14F7A">
            <w:pPr>
              <w:ind w:left="0" w:right="0"/>
              <w:rPr>
                <w:szCs w:val="24"/>
              </w:rPr>
            </w:pPr>
            <w:r w:rsidRPr="00E14F7A">
              <w:rPr>
                <w:rFonts w:cs="Calibri"/>
                <w:color w:val="000000"/>
                <w:szCs w:val="24"/>
              </w:rPr>
              <w:lastRenderedPageBreak/>
              <w:t xml:space="preserve">Using community members, such as college students, or parents resulted in a small positive impact. When using community members or parents, there is a need for additional training and supervision </w:t>
            </w:r>
            <w:proofErr w:type="gramStart"/>
            <w:r w:rsidRPr="00E14F7A">
              <w:rPr>
                <w:rFonts w:cs="Calibri"/>
                <w:color w:val="000000"/>
                <w:szCs w:val="24"/>
              </w:rPr>
              <w:t>in order to</w:t>
            </w:r>
            <w:proofErr w:type="gramEnd"/>
            <w:r w:rsidRPr="00E14F7A">
              <w:rPr>
                <w:rFonts w:cs="Calibri"/>
                <w:color w:val="000000"/>
                <w:szCs w:val="24"/>
              </w:rPr>
              <w:t xml:space="preserve"> achieve results.</w:t>
            </w:r>
          </w:p>
        </w:tc>
      </w:tr>
      <w:tr w:rsidR="00E14F7A" w14:paraId="5CCA1B80" w14:textId="77777777" w:rsidTr="00EB3CEF">
        <w:tc>
          <w:tcPr>
            <w:tcW w:w="1890" w:type="dxa"/>
          </w:tcPr>
          <w:p w14:paraId="6F940807" w14:textId="4AC6B516" w:rsidR="00E14F7A" w:rsidRPr="00E14F7A" w:rsidRDefault="00E14F7A" w:rsidP="00E14F7A">
            <w:pPr>
              <w:ind w:left="0" w:right="0"/>
              <w:rPr>
                <w:i/>
                <w:iCs/>
                <w:szCs w:val="24"/>
              </w:rPr>
            </w:pPr>
            <w:r w:rsidRPr="00E14F7A">
              <w:rPr>
                <w:rFonts w:cs="Calibri"/>
                <w:i/>
                <w:iCs/>
                <w:szCs w:val="24"/>
              </w:rPr>
              <w:lastRenderedPageBreak/>
              <w:t>Progress Monitoring</w:t>
            </w:r>
          </w:p>
        </w:tc>
        <w:tc>
          <w:tcPr>
            <w:tcW w:w="8750" w:type="dxa"/>
            <w:shd w:val="clear" w:color="auto" w:fill="auto"/>
            <w:tcMar>
              <w:top w:w="100" w:type="dxa"/>
              <w:left w:w="100" w:type="dxa"/>
              <w:bottom w:w="100" w:type="dxa"/>
              <w:right w:w="100" w:type="dxa"/>
            </w:tcMar>
          </w:tcPr>
          <w:p w14:paraId="4EC7A9CE" w14:textId="441DEAE1" w:rsidR="00E14F7A" w:rsidRPr="00E14F7A" w:rsidRDefault="00E14F7A" w:rsidP="00E14F7A">
            <w:pPr>
              <w:ind w:left="0" w:right="0"/>
              <w:rPr>
                <w:szCs w:val="24"/>
              </w:rPr>
            </w:pPr>
            <w:r w:rsidRPr="00E14F7A">
              <w:rPr>
                <w:rFonts w:cs="Calibri"/>
                <w:szCs w:val="24"/>
              </w:rPr>
              <w:t>Schools progress monitor both the fidelity of implementation of the High Dosage Tutoring Plan as well as its impact on student performance (interim measure). Coaching supports increased fidelity around implementation.</w:t>
            </w:r>
          </w:p>
        </w:tc>
      </w:tr>
    </w:tbl>
    <w:p w14:paraId="7DACC9A2" w14:textId="77777777" w:rsidR="00CF6BAD" w:rsidRDefault="00CF6BAD" w:rsidP="00CF6BAD"/>
    <w:p w14:paraId="16F8641E" w14:textId="73F4FC74" w:rsidR="00CB107E" w:rsidRDefault="00CB107E" w:rsidP="00CB107E">
      <w:pPr>
        <w:pStyle w:val="Heading2"/>
      </w:pPr>
      <w:r>
        <w:t>Sample Implementation Plan</w:t>
      </w:r>
    </w:p>
    <w:p w14:paraId="3F178E96" w14:textId="77777777" w:rsidR="00336AEC" w:rsidRPr="00336AEC" w:rsidRDefault="00336AEC" w:rsidP="00336AEC">
      <w:pPr>
        <w:rPr>
          <w:i/>
          <w:iCs/>
        </w:rPr>
      </w:pPr>
      <w:r w:rsidRPr="00336AEC">
        <w:rPr>
          <w:i/>
          <w:iCs/>
        </w:rPr>
        <w:t xml:space="preserve">Context: The following Sample Implementation Plan assumes that a school does not currently have a High Dosage Tutoring Strategy in place and is installing this strategy for the first time. Note also that the dates given </w:t>
      </w:r>
      <w:proofErr w:type="gramStart"/>
      <w:r w:rsidRPr="00336AEC">
        <w:rPr>
          <w:i/>
          <w:iCs/>
        </w:rPr>
        <w:t>in</w:t>
      </w:r>
      <w:proofErr w:type="gramEnd"/>
      <w:r w:rsidRPr="00336AEC">
        <w:rPr>
          <w:i/>
          <w:iCs/>
        </w:rPr>
        <w:t xml:space="preserve"> the table below are suggested approximate ranges for the given activities. A true action plan should specify precise dates and date-ranges for each activity. Sample taken from Core Component 1.</w:t>
      </w:r>
    </w:p>
    <w:tbl>
      <w:tblPr>
        <w:tblW w:w="0" w:type="auto"/>
        <w:tblInd w:w="440" w:type="dxa"/>
        <w:tblLayout w:type="fixed"/>
        <w:tblCellMar>
          <w:top w:w="15" w:type="dxa"/>
          <w:left w:w="15" w:type="dxa"/>
          <w:bottom w:w="15" w:type="dxa"/>
          <w:right w:w="15" w:type="dxa"/>
        </w:tblCellMar>
        <w:tblLook w:val="04A0" w:firstRow="1" w:lastRow="0" w:firstColumn="1" w:lastColumn="0" w:noHBand="0" w:noVBand="1"/>
      </w:tblPr>
      <w:tblGrid>
        <w:gridCol w:w="1980"/>
        <w:gridCol w:w="5130"/>
        <w:gridCol w:w="1530"/>
        <w:gridCol w:w="1980"/>
      </w:tblGrid>
      <w:tr w:rsidR="00CB107E" w:rsidRPr="00CB107E" w14:paraId="44FB68DB" w14:textId="77777777" w:rsidTr="00483A90">
        <w:trPr>
          <w:tblHeader/>
        </w:trPr>
        <w:tc>
          <w:tcPr>
            <w:tcW w:w="198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4EE52D5"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Name</w:t>
            </w:r>
          </w:p>
        </w:tc>
        <w:tc>
          <w:tcPr>
            <w:tcW w:w="513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5EC7DEA"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Description</w:t>
            </w:r>
          </w:p>
        </w:tc>
        <w:tc>
          <w:tcPr>
            <w:tcW w:w="153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CA726E4"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Start/End Date</w:t>
            </w:r>
          </w:p>
        </w:tc>
        <w:tc>
          <w:tcPr>
            <w:tcW w:w="198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38BCB1A" w14:textId="77777777" w:rsidR="00CB107E" w:rsidRPr="00CB107E" w:rsidRDefault="00CB107E" w:rsidP="00373C64">
            <w:pPr>
              <w:pStyle w:val="NormalWeb"/>
              <w:rPr>
                <w:rFonts w:ascii="Calibri" w:hAnsi="Calibri" w:cs="Calibri"/>
                <w:b/>
                <w:bCs/>
                <w:sz w:val="24"/>
                <w:szCs w:val="24"/>
              </w:rPr>
            </w:pPr>
            <w:r w:rsidRPr="00CB107E">
              <w:rPr>
                <w:rFonts w:ascii="Calibri" w:hAnsi="Calibri" w:cs="Calibri"/>
                <w:b/>
                <w:bCs/>
                <w:sz w:val="24"/>
                <w:szCs w:val="24"/>
              </w:rPr>
              <w:t>Key Personnel</w:t>
            </w:r>
          </w:p>
        </w:tc>
      </w:tr>
      <w:tr w:rsidR="00483A90" w:rsidRPr="003D7676" w14:paraId="55932562" w14:textId="77777777" w:rsidTr="00483A90">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26D2D" w14:textId="02AB160A" w:rsidR="00483A90" w:rsidRPr="00483A90" w:rsidRDefault="00483A90" w:rsidP="00483A90">
            <w:pPr>
              <w:pStyle w:val="NormalWeb"/>
              <w:rPr>
                <w:rFonts w:ascii="Calibri" w:hAnsi="Calibri" w:cs="Calibri"/>
                <w:sz w:val="24"/>
                <w:szCs w:val="24"/>
              </w:rPr>
            </w:pPr>
            <w:r w:rsidRPr="00483A90">
              <w:rPr>
                <w:rFonts w:ascii="Calibri" w:hAnsi="Calibri" w:cs="Calibri"/>
                <w:color w:val="000000"/>
                <w:sz w:val="24"/>
                <w:szCs w:val="24"/>
              </w:rPr>
              <w:t>Establish Vision and Infrastructure</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34C77" w14:textId="787924D1"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Write out vision and determine logistics around High Dosage Tutoring</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9211B" w14:textId="5A86660E"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August - September</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80BA1" w14:textId="710608DD"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Instructional Leadership Team</w:t>
            </w:r>
          </w:p>
        </w:tc>
      </w:tr>
      <w:tr w:rsidR="00483A90" w:rsidRPr="003D7676" w14:paraId="2223DC00" w14:textId="77777777" w:rsidTr="00483A90">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E1139" w14:textId="0F8F0810" w:rsidR="00483A90" w:rsidRPr="00483A90" w:rsidRDefault="00483A90" w:rsidP="00483A90">
            <w:pPr>
              <w:pStyle w:val="NormalWeb"/>
              <w:rPr>
                <w:rFonts w:ascii="Calibri" w:hAnsi="Calibri" w:cs="Calibri"/>
                <w:sz w:val="24"/>
                <w:szCs w:val="24"/>
              </w:rPr>
            </w:pPr>
            <w:r w:rsidRPr="00483A90">
              <w:rPr>
                <w:rFonts w:ascii="Calibri" w:hAnsi="Calibri" w:cs="Calibri"/>
                <w:color w:val="000000"/>
                <w:sz w:val="24"/>
                <w:szCs w:val="24"/>
              </w:rPr>
              <w:t>Determine Tutoring Schedule</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76B67" w14:textId="7D35185D"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Determine times, frequency and cumulative hours for High Dosage Tutoring Program.</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05B5C" w14:textId="78F49DB8"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September</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DA587" w14:textId="5B539873"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Instructional Leadership Team</w:t>
            </w:r>
          </w:p>
        </w:tc>
      </w:tr>
      <w:tr w:rsidR="00483A90" w:rsidRPr="003D7676" w14:paraId="37574688" w14:textId="77777777" w:rsidTr="00483A90">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BA911" w14:textId="310C5051" w:rsidR="00483A90" w:rsidRPr="00483A90" w:rsidRDefault="00483A90" w:rsidP="00483A90">
            <w:pPr>
              <w:pStyle w:val="NormalWeb"/>
              <w:rPr>
                <w:rFonts w:ascii="Calibri" w:hAnsi="Calibri" w:cs="Calibri"/>
                <w:sz w:val="24"/>
                <w:szCs w:val="24"/>
              </w:rPr>
            </w:pPr>
            <w:r w:rsidRPr="00483A90">
              <w:rPr>
                <w:rFonts w:ascii="Calibri" w:hAnsi="Calibri" w:cs="Calibri"/>
                <w:color w:val="000000"/>
                <w:sz w:val="24"/>
                <w:szCs w:val="24"/>
              </w:rPr>
              <w:t>Select Students</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1CC70" w14:textId="4071F36A"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Select students for High Dosage Tutoring Program using Fall Baseline Data.</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CC7AA" w14:textId="6E9407FD"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September - October</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4C2EF" w14:textId="400376FC"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Instructional Leadership Team, Teachers</w:t>
            </w:r>
          </w:p>
        </w:tc>
      </w:tr>
      <w:tr w:rsidR="00483A90" w:rsidRPr="003D7676" w14:paraId="0798F0B0" w14:textId="77777777" w:rsidTr="00483A90">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CE27EC" w14:textId="4DDD1CAC" w:rsidR="00483A90" w:rsidRPr="00483A90" w:rsidRDefault="00483A90" w:rsidP="00483A90">
            <w:pPr>
              <w:pStyle w:val="NormalWeb"/>
              <w:rPr>
                <w:rFonts w:ascii="Calibri" w:hAnsi="Calibri" w:cs="Calibri"/>
                <w:sz w:val="24"/>
                <w:szCs w:val="24"/>
              </w:rPr>
            </w:pPr>
            <w:proofErr w:type="gramStart"/>
            <w:r w:rsidRPr="00483A90">
              <w:rPr>
                <w:rFonts w:ascii="Calibri" w:hAnsi="Calibri" w:cs="Calibri"/>
                <w:color w:val="000000"/>
                <w:sz w:val="24"/>
                <w:szCs w:val="24"/>
              </w:rPr>
              <w:t>Make</w:t>
            </w:r>
            <w:proofErr w:type="gramEnd"/>
            <w:r w:rsidRPr="00483A90">
              <w:rPr>
                <w:rFonts w:ascii="Calibri" w:hAnsi="Calibri" w:cs="Calibri"/>
                <w:color w:val="000000"/>
                <w:sz w:val="24"/>
                <w:szCs w:val="24"/>
              </w:rPr>
              <w:t xml:space="preserve"> Decisions </w:t>
            </w:r>
            <w:r>
              <w:rPr>
                <w:rFonts w:ascii="Calibri" w:hAnsi="Calibri" w:cs="Calibri"/>
                <w:color w:val="000000"/>
                <w:sz w:val="24"/>
                <w:szCs w:val="24"/>
              </w:rPr>
              <w:t>about</w:t>
            </w:r>
            <w:r w:rsidRPr="00483A90">
              <w:rPr>
                <w:rFonts w:ascii="Calibri" w:hAnsi="Calibri" w:cs="Calibri"/>
                <w:color w:val="000000"/>
                <w:sz w:val="24"/>
                <w:szCs w:val="24"/>
              </w:rPr>
              <w:t xml:space="preserve"> Size of Tutoring Groups</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E4C52" w14:textId="5C8540E9"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Divide students into tutoring groups.</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2D07D" w14:textId="7F18023B"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September - October</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5180F" w14:textId="571A9E99"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Instructional Leadership Team</w:t>
            </w:r>
          </w:p>
        </w:tc>
      </w:tr>
      <w:tr w:rsidR="00483A90" w:rsidRPr="003D7676" w14:paraId="36753F0D" w14:textId="77777777" w:rsidTr="00483A90">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63F85" w14:textId="33433584" w:rsidR="00483A90" w:rsidRPr="00483A90" w:rsidRDefault="00483A90" w:rsidP="00483A90">
            <w:pPr>
              <w:pStyle w:val="NormalWeb"/>
              <w:rPr>
                <w:rFonts w:ascii="Calibri" w:hAnsi="Calibri" w:cs="Calibri"/>
                <w:sz w:val="24"/>
                <w:szCs w:val="24"/>
              </w:rPr>
            </w:pPr>
            <w:r w:rsidRPr="00483A90">
              <w:rPr>
                <w:rFonts w:ascii="Calibri" w:hAnsi="Calibri" w:cs="Calibri"/>
                <w:color w:val="000000"/>
                <w:sz w:val="24"/>
                <w:szCs w:val="24"/>
              </w:rPr>
              <w:t>Select Quality Tutors</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F91E8" w14:textId="3468CBF1"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Select tutors.</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D3ACA" w14:textId="33649EDD"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September - October</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51220" w14:textId="362F549C"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Instructional Leadership Team</w:t>
            </w:r>
          </w:p>
        </w:tc>
      </w:tr>
      <w:tr w:rsidR="00483A90" w:rsidRPr="003D7676" w14:paraId="2A505DF4" w14:textId="77777777" w:rsidTr="00483A90">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09F14" w14:textId="50CDB3B8" w:rsidR="00483A90" w:rsidRPr="00483A90" w:rsidRDefault="00483A90" w:rsidP="00483A90">
            <w:pPr>
              <w:pStyle w:val="NormalWeb"/>
              <w:rPr>
                <w:rFonts w:ascii="Calibri" w:hAnsi="Calibri" w:cs="Calibri"/>
                <w:sz w:val="24"/>
                <w:szCs w:val="24"/>
              </w:rPr>
            </w:pPr>
            <w:r w:rsidRPr="00483A90">
              <w:rPr>
                <w:rFonts w:ascii="Calibri" w:hAnsi="Calibri" w:cs="Calibri"/>
                <w:color w:val="000000"/>
                <w:sz w:val="24"/>
                <w:szCs w:val="24"/>
              </w:rPr>
              <w:t>Determine Content Area(s)</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3956F" w14:textId="7E748BE2"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Use research, data and qualifications of tutors to determine content of High Dosage Tutoring group(s).</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8B4FE" w14:textId="58274879"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September - October</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43CE0" w14:textId="76142F08" w:rsidR="00483A90" w:rsidRPr="00483A90" w:rsidRDefault="00483A90" w:rsidP="00483A90">
            <w:pPr>
              <w:pStyle w:val="NormalWeb"/>
              <w:rPr>
                <w:rFonts w:ascii="Calibri" w:hAnsi="Calibri" w:cs="Calibri"/>
                <w:sz w:val="24"/>
                <w:szCs w:val="24"/>
              </w:rPr>
            </w:pPr>
            <w:r w:rsidRPr="00483A90">
              <w:rPr>
                <w:rFonts w:ascii="Calibri" w:hAnsi="Calibri" w:cs="Calibri"/>
                <w:sz w:val="24"/>
                <w:szCs w:val="24"/>
              </w:rPr>
              <w:t>Instructional Leadership Team</w:t>
            </w:r>
          </w:p>
        </w:tc>
      </w:tr>
    </w:tbl>
    <w:p w14:paraId="397D3F33" w14:textId="77777777" w:rsidR="00CB107E" w:rsidRDefault="00CB107E" w:rsidP="00CB107E"/>
    <w:p w14:paraId="1F2290C7" w14:textId="151CBCC2" w:rsidR="003621C2" w:rsidRDefault="003621C2" w:rsidP="003621C2">
      <w:pPr>
        <w:pStyle w:val="Heading2"/>
      </w:pPr>
      <w:r>
        <w:lastRenderedPageBreak/>
        <w:t>Sources</w:t>
      </w:r>
    </w:p>
    <w:p w14:paraId="4F9043C9" w14:textId="1F83442E" w:rsidR="003621C2" w:rsidRPr="00616D54" w:rsidRDefault="003621C2" w:rsidP="00616D54">
      <w:pPr>
        <w:jc w:val="center"/>
        <w:rPr>
          <w:b/>
          <w:bCs/>
        </w:rPr>
      </w:pPr>
      <w:r w:rsidRPr="00616D54">
        <w:rPr>
          <w:b/>
          <w:bCs/>
        </w:rPr>
        <w:t>Academic Studies Leading to ESSA Rating</w:t>
      </w:r>
    </w:p>
    <w:p w14:paraId="282FE1F7" w14:textId="77777777" w:rsidR="00EE3A6D" w:rsidRPr="00EE3A6D" w:rsidRDefault="00EE3A6D" w:rsidP="00EE3A6D">
      <w:pPr>
        <w:ind w:left="1080" w:hanging="648"/>
      </w:pPr>
      <w:r w:rsidRPr="00EE3A6D">
        <w:t xml:space="preserve">Cook, P. J. (2015). Not too late: Improving academic outcomes for disadvantaged youth. </w:t>
      </w:r>
      <w:r w:rsidRPr="00EE3A6D">
        <w:rPr>
          <w:i/>
          <w:iCs/>
        </w:rPr>
        <w:t>Northwestern University Institute for Policy Research Working Paper</w:t>
      </w:r>
      <w:r w:rsidRPr="00EE3A6D">
        <w:t>, (15-01).</w:t>
      </w:r>
    </w:p>
    <w:p w14:paraId="4FFC98D8" w14:textId="77777777" w:rsidR="00EE3A6D" w:rsidRPr="00EE3A6D" w:rsidRDefault="00EE3A6D" w:rsidP="00EE3A6D">
      <w:pPr>
        <w:ind w:left="1080" w:hanging="648"/>
      </w:pPr>
      <w:r w:rsidRPr="00EE3A6D">
        <w:t xml:space="preserve">Dobbie, W., &amp; Fryer Jr, R. G. (2013). Getting beneath the veil of effective schools: Evidence from New York City. </w:t>
      </w:r>
      <w:r w:rsidRPr="00EE3A6D">
        <w:rPr>
          <w:i/>
          <w:iCs/>
        </w:rPr>
        <w:t>American Economic Journal: Applied Economics</w:t>
      </w:r>
      <w:r w:rsidRPr="00EE3A6D">
        <w:t xml:space="preserve">, </w:t>
      </w:r>
      <w:r w:rsidRPr="00EE3A6D">
        <w:rPr>
          <w:i/>
          <w:iCs/>
        </w:rPr>
        <w:t>5</w:t>
      </w:r>
      <w:r w:rsidRPr="00EE3A6D">
        <w:t>(4), 28-60.</w:t>
      </w:r>
    </w:p>
    <w:p w14:paraId="288087B0" w14:textId="77777777" w:rsidR="00EE3A6D" w:rsidRPr="00EE3A6D" w:rsidRDefault="00EE3A6D" w:rsidP="00EE3A6D">
      <w:pPr>
        <w:ind w:left="1080" w:hanging="648"/>
      </w:pPr>
      <w:r w:rsidRPr="00EE3A6D">
        <w:t xml:space="preserve">Fryer Jr, R. G. (2014). Injecting charter school best practices into traditional public schools: Evidence from field experiments. </w:t>
      </w:r>
      <w:r w:rsidRPr="00EE3A6D">
        <w:rPr>
          <w:i/>
          <w:iCs/>
        </w:rPr>
        <w:t>The Quarterly Journal of Economics</w:t>
      </w:r>
      <w:r w:rsidRPr="00EE3A6D">
        <w:t xml:space="preserve">, </w:t>
      </w:r>
      <w:r w:rsidRPr="00EE3A6D">
        <w:rPr>
          <w:i/>
          <w:iCs/>
        </w:rPr>
        <w:t>129</w:t>
      </w:r>
      <w:r w:rsidRPr="00EE3A6D">
        <w:t>(3), 1355-1407.</w:t>
      </w:r>
    </w:p>
    <w:p w14:paraId="65E23005" w14:textId="77777777" w:rsidR="00EE3A6D" w:rsidRPr="00EE3A6D" w:rsidRDefault="00EE3A6D" w:rsidP="00EE3A6D">
      <w:pPr>
        <w:ind w:left="1080" w:hanging="648"/>
      </w:pPr>
      <w:r w:rsidRPr="00EE3A6D">
        <w:t xml:space="preserve">Fryer Jr, R. G., &amp; Howard-Noveck, M. (2020). </w:t>
      </w:r>
      <w:proofErr w:type="gramStart"/>
      <w:r w:rsidRPr="00EE3A6D">
        <w:t>High-dosage</w:t>
      </w:r>
      <w:proofErr w:type="gramEnd"/>
      <w:r w:rsidRPr="00EE3A6D">
        <w:t xml:space="preserve"> tutoring and reading achievement: evidence from New York City. </w:t>
      </w:r>
      <w:r w:rsidRPr="00EE3A6D">
        <w:rPr>
          <w:i/>
          <w:iCs/>
        </w:rPr>
        <w:t>Journal of Labor Economics</w:t>
      </w:r>
      <w:r w:rsidRPr="00EE3A6D">
        <w:t xml:space="preserve">, </w:t>
      </w:r>
      <w:r w:rsidRPr="00EE3A6D">
        <w:rPr>
          <w:i/>
          <w:iCs/>
        </w:rPr>
        <w:t>38</w:t>
      </w:r>
      <w:r w:rsidRPr="00EE3A6D">
        <w:t>(2), 421-452.</w:t>
      </w:r>
    </w:p>
    <w:p w14:paraId="31591BCA" w14:textId="77777777" w:rsidR="00EE3A6D" w:rsidRPr="00EE3A6D" w:rsidRDefault="00EE3A6D" w:rsidP="00EE3A6D">
      <w:pPr>
        <w:ind w:left="1080" w:hanging="648"/>
      </w:pPr>
      <w:r w:rsidRPr="00EE3A6D">
        <w:t xml:space="preserve">Kraft, M. A. (2015). How to make additional time matter: Integrating individualized tutorials into an extended day. </w:t>
      </w:r>
      <w:r w:rsidRPr="00EE3A6D">
        <w:rPr>
          <w:i/>
          <w:iCs/>
        </w:rPr>
        <w:t>Education Finance and Policy</w:t>
      </w:r>
      <w:r w:rsidRPr="00EE3A6D">
        <w:t xml:space="preserve">, </w:t>
      </w:r>
      <w:r w:rsidRPr="00EE3A6D">
        <w:rPr>
          <w:i/>
          <w:iCs/>
        </w:rPr>
        <w:t>10</w:t>
      </w:r>
      <w:r w:rsidRPr="00EE3A6D">
        <w:t>(1), 81-116.</w:t>
      </w:r>
    </w:p>
    <w:p w14:paraId="6D1FFE04" w14:textId="204568CB" w:rsidR="00616D54" w:rsidRDefault="00EE3A6D" w:rsidP="00EE3A6D">
      <w:pPr>
        <w:ind w:left="1080" w:hanging="648"/>
      </w:pPr>
      <w:proofErr w:type="spellStart"/>
      <w:r w:rsidRPr="00EE3A6D">
        <w:t>Nickow</w:t>
      </w:r>
      <w:proofErr w:type="spellEnd"/>
      <w:r w:rsidRPr="00EE3A6D">
        <w:t xml:space="preserve">, A., </w:t>
      </w:r>
      <w:proofErr w:type="spellStart"/>
      <w:r w:rsidRPr="00EE3A6D">
        <w:t>Oreopoulos</w:t>
      </w:r>
      <w:proofErr w:type="spellEnd"/>
      <w:r w:rsidRPr="00EE3A6D">
        <w:t>, P., &amp; Quan, V. (2020). The impressive effects of tutoring on prek-12 learning: A systematic review and meta-analysis of the experimental evidence.</w:t>
      </w:r>
    </w:p>
    <w:p w14:paraId="42516320" w14:textId="221E261F" w:rsidR="00616D54" w:rsidRDefault="00616D54" w:rsidP="00EE3A6D">
      <w:pPr>
        <w:spacing w:before="240"/>
        <w:ind w:left="1080" w:hanging="648"/>
        <w:jc w:val="center"/>
        <w:rPr>
          <w:b/>
          <w:bCs/>
        </w:rPr>
      </w:pPr>
      <w:r w:rsidRPr="00616D54">
        <w:rPr>
          <w:b/>
          <w:bCs/>
        </w:rPr>
        <w:t>Additional Sources Supporting Implementation of the Strategy</w:t>
      </w:r>
    </w:p>
    <w:p w14:paraId="1B9E092E" w14:textId="77777777" w:rsidR="00FA21D1" w:rsidRPr="00FA21D1" w:rsidRDefault="00FA21D1" w:rsidP="00FA21D1">
      <w:pPr>
        <w:ind w:left="1080" w:hanging="648"/>
      </w:pPr>
      <w:r w:rsidRPr="00FA21D1">
        <w:t xml:space="preserve">Hallgren, K., Gonzalez, N., Choi, J., Kelly, K., Li, A., Ochoa, L., ... &amp; Gill, B. (2017). The Atlanta Public Schools Turnaround Strategy After One Year: High Impact Tutoring and the </w:t>
      </w:r>
      <w:proofErr w:type="gramStart"/>
      <w:r w:rsidRPr="00FA21D1">
        <w:t>Purpose Built</w:t>
      </w:r>
      <w:proofErr w:type="gramEnd"/>
      <w:r w:rsidRPr="00FA21D1">
        <w:t xml:space="preserve"> Schools Partnership. </w:t>
      </w:r>
      <w:r w:rsidRPr="00FA21D1">
        <w:rPr>
          <w:i/>
          <w:iCs/>
        </w:rPr>
        <w:t>Report submitted to the Atlanta Public Schools. Princeton, NJ: Mathematica Policy Research</w:t>
      </w:r>
      <w:r w:rsidRPr="00FA21D1">
        <w:t>.</w:t>
      </w:r>
    </w:p>
    <w:p w14:paraId="6DFD4969" w14:textId="2E12A058" w:rsidR="00616D54" w:rsidRDefault="00616D54" w:rsidP="00FA21D1">
      <w:pPr>
        <w:ind w:left="1080" w:hanging="648"/>
      </w:pPr>
    </w:p>
    <w:p w14:paraId="69DA5B1C" w14:textId="77777777" w:rsidR="006F7FD4" w:rsidRPr="0064379A" w:rsidRDefault="006F7FD4" w:rsidP="006F7FD4">
      <w:pPr>
        <w:ind w:left="1080" w:hanging="648"/>
        <w:rPr>
          <w:b/>
          <w:bCs/>
        </w:rPr>
      </w:pPr>
      <w:r w:rsidRPr="0064379A">
        <w:rPr>
          <w:b/>
          <w:bCs/>
          <w:i/>
          <w:iCs/>
        </w:rPr>
        <w:t>Please contact Lauren Hesse (</w:t>
      </w:r>
      <w:hyperlink r:id="rId11" w:history="1">
        <w:r w:rsidRPr="0064379A">
          <w:rPr>
            <w:rStyle w:val="Hyperlink"/>
            <w:b/>
            <w:bCs/>
            <w:i/>
            <w:iCs/>
          </w:rPr>
          <w:t>hesse_l@cde.state.co.us</w:t>
        </w:r>
      </w:hyperlink>
      <w:r w:rsidRPr="0064379A">
        <w:rPr>
          <w:b/>
          <w:bCs/>
          <w:i/>
          <w:iCs/>
        </w:rPr>
        <w:t>) if an alternate version of this document is needed.</w:t>
      </w:r>
    </w:p>
    <w:p w14:paraId="797DCACF" w14:textId="77777777" w:rsidR="006F7FD4" w:rsidRPr="00616D54" w:rsidRDefault="006F7FD4" w:rsidP="00FA21D1">
      <w:pPr>
        <w:ind w:left="1080" w:hanging="648"/>
      </w:pPr>
    </w:p>
    <w:sectPr w:rsidR="006F7FD4" w:rsidRPr="00616D54" w:rsidSect="007818E3">
      <w:headerReference w:type="default" r:id="rId12"/>
      <w:footerReference w:type="default" r:id="rId13"/>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E18AF" w14:textId="77777777" w:rsidR="00322AC8" w:rsidRDefault="00322AC8" w:rsidP="00271BD6">
      <w:pPr>
        <w:spacing w:after="0"/>
      </w:pPr>
      <w:r>
        <w:separator/>
      </w:r>
    </w:p>
  </w:endnote>
  <w:endnote w:type="continuationSeparator" w:id="0">
    <w:p w14:paraId="5913D9DB" w14:textId="77777777" w:rsidR="00322AC8" w:rsidRDefault="00322AC8" w:rsidP="00271BD6">
      <w:pPr>
        <w:spacing w:after="0"/>
      </w:pPr>
      <w:r>
        <w:continuationSeparator/>
      </w:r>
    </w:p>
  </w:endnote>
  <w:endnote w:type="continuationNotice" w:id="1">
    <w:p w14:paraId="457FE572" w14:textId="77777777" w:rsidR="00322AC8" w:rsidRDefault="00322A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A9BB5FF">
                  <wp:simplePos x="0" y="0"/>
                  <wp:positionH relativeFrom="column">
                    <wp:posOffset>231775</wp:posOffset>
                  </wp:positionH>
                  <wp:positionV relativeFrom="paragraph">
                    <wp:posOffset>95580</wp:posOffset>
                  </wp:positionV>
                  <wp:extent cx="6539788" cy="0"/>
                  <wp:effectExtent l="0" t="0" r="0" b="0"/>
                  <wp:wrapNone/>
                  <wp:docPr id="7209187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B1D54"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82691" w14:textId="77777777" w:rsidR="00322AC8" w:rsidRDefault="00322AC8" w:rsidP="00271BD6">
      <w:pPr>
        <w:spacing w:after="0"/>
      </w:pPr>
      <w:r>
        <w:separator/>
      </w:r>
    </w:p>
  </w:footnote>
  <w:footnote w:type="continuationSeparator" w:id="0">
    <w:p w14:paraId="239CD571" w14:textId="77777777" w:rsidR="00322AC8" w:rsidRDefault="00322AC8" w:rsidP="00271BD6">
      <w:pPr>
        <w:spacing w:after="0"/>
      </w:pPr>
      <w:r>
        <w:continuationSeparator/>
      </w:r>
    </w:p>
  </w:footnote>
  <w:footnote w:type="continuationNotice" w:id="1">
    <w:p w14:paraId="05860185" w14:textId="77777777" w:rsidR="00322AC8" w:rsidRDefault="00322A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37DB"/>
    <w:multiLevelType w:val="multilevel"/>
    <w:tmpl w:val="1D18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940FD"/>
    <w:multiLevelType w:val="multilevel"/>
    <w:tmpl w:val="E372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33EB2"/>
    <w:multiLevelType w:val="hybridMultilevel"/>
    <w:tmpl w:val="E832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C17BC"/>
    <w:multiLevelType w:val="multilevel"/>
    <w:tmpl w:val="6D14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97407"/>
    <w:multiLevelType w:val="multilevel"/>
    <w:tmpl w:val="104C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6" w15:restartNumberingAfterBreak="0">
    <w:nsid w:val="2ACF70B3"/>
    <w:multiLevelType w:val="multilevel"/>
    <w:tmpl w:val="9A7E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7B418A"/>
    <w:multiLevelType w:val="multilevel"/>
    <w:tmpl w:val="282C7A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76C34C6"/>
    <w:multiLevelType w:val="multilevel"/>
    <w:tmpl w:val="B8F8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6A5CB8"/>
    <w:multiLevelType w:val="multilevel"/>
    <w:tmpl w:val="73D2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68113F"/>
    <w:multiLevelType w:val="multilevel"/>
    <w:tmpl w:val="7C64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F80E7B"/>
    <w:multiLevelType w:val="hybridMultilevel"/>
    <w:tmpl w:val="6484A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456C71"/>
    <w:multiLevelType w:val="hybridMultilevel"/>
    <w:tmpl w:val="FD6CBB8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7025029E"/>
    <w:multiLevelType w:val="hybridMultilevel"/>
    <w:tmpl w:val="3A461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1908962">
    <w:abstractNumId w:val="5"/>
  </w:num>
  <w:num w:numId="2" w16cid:durableId="1578594820">
    <w:abstractNumId w:val="12"/>
  </w:num>
  <w:num w:numId="3" w16cid:durableId="660888563">
    <w:abstractNumId w:val="7"/>
  </w:num>
  <w:num w:numId="4" w16cid:durableId="726758273">
    <w:abstractNumId w:val="13"/>
  </w:num>
  <w:num w:numId="5" w16cid:durableId="1704793958">
    <w:abstractNumId w:val="1"/>
  </w:num>
  <w:num w:numId="6" w16cid:durableId="15009710">
    <w:abstractNumId w:val="11"/>
  </w:num>
  <w:num w:numId="7" w16cid:durableId="2046715083">
    <w:abstractNumId w:val="4"/>
  </w:num>
  <w:num w:numId="8" w16cid:durableId="1895582580">
    <w:abstractNumId w:val="6"/>
  </w:num>
  <w:num w:numId="9" w16cid:durableId="1354770578">
    <w:abstractNumId w:val="8"/>
  </w:num>
  <w:num w:numId="10" w16cid:durableId="1170801684">
    <w:abstractNumId w:val="2"/>
  </w:num>
  <w:num w:numId="11" w16cid:durableId="440228819">
    <w:abstractNumId w:val="9"/>
  </w:num>
  <w:num w:numId="12" w16cid:durableId="1566909227">
    <w:abstractNumId w:val="10"/>
  </w:num>
  <w:num w:numId="13" w16cid:durableId="1379815856">
    <w:abstractNumId w:val="3"/>
  </w:num>
  <w:num w:numId="14" w16cid:durableId="2006934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368D0"/>
    <w:rsid w:val="0005183E"/>
    <w:rsid w:val="00071C18"/>
    <w:rsid w:val="000803B8"/>
    <w:rsid w:val="00087158"/>
    <w:rsid w:val="00090426"/>
    <w:rsid w:val="000F0D43"/>
    <w:rsid w:val="00142CCA"/>
    <w:rsid w:val="00194D04"/>
    <w:rsid w:val="001A6CE0"/>
    <w:rsid w:val="00211CEA"/>
    <w:rsid w:val="00220348"/>
    <w:rsid w:val="00240CAB"/>
    <w:rsid w:val="00257995"/>
    <w:rsid w:val="00271BD6"/>
    <w:rsid w:val="002866C2"/>
    <w:rsid w:val="002933D8"/>
    <w:rsid w:val="002B44CF"/>
    <w:rsid w:val="002E41BC"/>
    <w:rsid w:val="00320B61"/>
    <w:rsid w:val="00322AC8"/>
    <w:rsid w:val="00336AEC"/>
    <w:rsid w:val="00347913"/>
    <w:rsid w:val="00347FC5"/>
    <w:rsid w:val="00350B15"/>
    <w:rsid w:val="003621C2"/>
    <w:rsid w:val="00385B40"/>
    <w:rsid w:val="003A1E43"/>
    <w:rsid w:val="003C1EE2"/>
    <w:rsid w:val="003D6325"/>
    <w:rsid w:val="003E7A47"/>
    <w:rsid w:val="003F06E3"/>
    <w:rsid w:val="003F4054"/>
    <w:rsid w:val="00400851"/>
    <w:rsid w:val="0042101B"/>
    <w:rsid w:val="00470DF3"/>
    <w:rsid w:val="00482B86"/>
    <w:rsid w:val="00483A90"/>
    <w:rsid w:val="004A525C"/>
    <w:rsid w:val="004B2802"/>
    <w:rsid w:val="004B5F27"/>
    <w:rsid w:val="004C6457"/>
    <w:rsid w:val="004F384D"/>
    <w:rsid w:val="004F3890"/>
    <w:rsid w:val="004F76BE"/>
    <w:rsid w:val="00501F3E"/>
    <w:rsid w:val="0050764C"/>
    <w:rsid w:val="00521466"/>
    <w:rsid w:val="0053152C"/>
    <w:rsid w:val="005333DF"/>
    <w:rsid w:val="005338B2"/>
    <w:rsid w:val="005626BD"/>
    <w:rsid w:val="005A5939"/>
    <w:rsid w:val="005B3EDC"/>
    <w:rsid w:val="005C2CA4"/>
    <w:rsid w:val="005D4857"/>
    <w:rsid w:val="005D69FA"/>
    <w:rsid w:val="0060667E"/>
    <w:rsid w:val="0061395A"/>
    <w:rsid w:val="00616D54"/>
    <w:rsid w:val="00624AFE"/>
    <w:rsid w:val="00635127"/>
    <w:rsid w:val="00643235"/>
    <w:rsid w:val="0066783F"/>
    <w:rsid w:val="00671555"/>
    <w:rsid w:val="00672122"/>
    <w:rsid w:val="006734C2"/>
    <w:rsid w:val="00684EA7"/>
    <w:rsid w:val="006B199B"/>
    <w:rsid w:val="006B4EE6"/>
    <w:rsid w:val="006C5F81"/>
    <w:rsid w:val="006D1089"/>
    <w:rsid w:val="006D6052"/>
    <w:rsid w:val="006F7FD4"/>
    <w:rsid w:val="0071689B"/>
    <w:rsid w:val="007221C5"/>
    <w:rsid w:val="007470F3"/>
    <w:rsid w:val="007532EB"/>
    <w:rsid w:val="007818E3"/>
    <w:rsid w:val="007A0C15"/>
    <w:rsid w:val="007A2A3C"/>
    <w:rsid w:val="007B13B1"/>
    <w:rsid w:val="007C4375"/>
    <w:rsid w:val="007F2B86"/>
    <w:rsid w:val="00800BC4"/>
    <w:rsid w:val="008226BB"/>
    <w:rsid w:val="00846376"/>
    <w:rsid w:val="008559FC"/>
    <w:rsid w:val="00872858"/>
    <w:rsid w:val="008824E9"/>
    <w:rsid w:val="00892C40"/>
    <w:rsid w:val="0089365E"/>
    <w:rsid w:val="0089532C"/>
    <w:rsid w:val="00897925"/>
    <w:rsid w:val="008E00EB"/>
    <w:rsid w:val="009646A5"/>
    <w:rsid w:val="009678EE"/>
    <w:rsid w:val="00970F81"/>
    <w:rsid w:val="00992993"/>
    <w:rsid w:val="009A6020"/>
    <w:rsid w:val="009B397E"/>
    <w:rsid w:val="009F42B7"/>
    <w:rsid w:val="00A16654"/>
    <w:rsid w:val="00A443E1"/>
    <w:rsid w:val="00A61C63"/>
    <w:rsid w:val="00A76F4B"/>
    <w:rsid w:val="00AC14E3"/>
    <w:rsid w:val="00AD7D2D"/>
    <w:rsid w:val="00AE0A1F"/>
    <w:rsid w:val="00B100AA"/>
    <w:rsid w:val="00B27BA9"/>
    <w:rsid w:val="00B30393"/>
    <w:rsid w:val="00B41F6C"/>
    <w:rsid w:val="00B54819"/>
    <w:rsid w:val="00BA015A"/>
    <w:rsid w:val="00BB53A5"/>
    <w:rsid w:val="00BD428E"/>
    <w:rsid w:val="00BF7E68"/>
    <w:rsid w:val="00C24C37"/>
    <w:rsid w:val="00C444F7"/>
    <w:rsid w:val="00C60781"/>
    <w:rsid w:val="00CB107E"/>
    <w:rsid w:val="00CC446C"/>
    <w:rsid w:val="00CC6156"/>
    <w:rsid w:val="00CC7A7D"/>
    <w:rsid w:val="00CD6299"/>
    <w:rsid w:val="00CE0A48"/>
    <w:rsid w:val="00CF044C"/>
    <w:rsid w:val="00CF472F"/>
    <w:rsid w:val="00CF6BAD"/>
    <w:rsid w:val="00D01ABF"/>
    <w:rsid w:val="00D01ED0"/>
    <w:rsid w:val="00D24BA9"/>
    <w:rsid w:val="00D66DE2"/>
    <w:rsid w:val="00D93BCF"/>
    <w:rsid w:val="00DA7B02"/>
    <w:rsid w:val="00DB371F"/>
    <w:rsid w:val="00DB51BD"/>
    <w:rsid w:val="00DC4626"/>
    <w:rsid w:val="00DC65C3"/>
    <w:rsid w:val="00DD0F67"/>
    <w:rsid w:val="00DD3DD0"/>
    <w:rsid w:val="00E14F7A"/>
    <w:rsid w:val="00E4109F"/>
    <w:rsid w:val="00E607BF"/>
    <w:rsid w:val="00E77A91"/>
    <w:rsid w:val="00E80FB1"/>
    <w:rsid w:val="00EA26C3"/>
    <w:rsid w:val="00EB3CEF"/>
    <w:rsid w:val="00EB56BD"/>
    <w:rsid w:val="00EB76B0"/>
    <w:rsid w:val="00EE3A6D"/>
    <w:rsid w:val="00EF14BD"/>
    <w:rsid w:val="00F35BE2"/>
    <w:rsid w:val="00F4632A"/>
    <w:rsid w:val="00F56CAF"/>
    <w:rsid w:val="00F62302"/>
    <w:rsid w:val="00F9372C"/>
    <w:rsid w:val="00F94302"/>
    <w:rsid w:val="00FA211A"/>
    <w:rsid w:val="00FA21D1"/>
    <w:rsid w:val="00FB7B4A"/>
    <w:rsid w:val="00FD1868"/>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54"/>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uiPriority w:val="9"/>
    <w:unhideWhenUsed/>
    <w:qFormat/>
    <w:rsid w:val="00F94302"/>
    <w:pPr>
      <w:keepNext/>
      <w:keepLines/>
      <w:spacing w:before="24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F94302"/>
    <w:rPr>
      <w:rFonts w:ascii="Calibri" w:eastAsiaTheme="majorEastAsia" w:hAnsi="Calibri" w:cstheme="majorBidi"/>
      <w:color w:val="000000" w:themeColor="text1"/>
      <w:sz w:val="28"/>
      <w:szCs w:val="28"/>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styleId="NormalWeb">
    <w:name w:val="Normal (Web)"/>
    <w:basedOn w:val="Normal"/>
    <w:uiPriority w:val="99"/>
    <w:unhideWhenUsed/>
    <w:rsid w:val="00CB107E"/>
    <w:pPr>
      <w:spacing w:before="100" w:beforeAutospacing="1" w:after="100" w:afterAutospacing="1" w:line="276" w:lineRule="auto"/>
      <w:ind w:left="0" w:right="0"/>
    </w:pPr>
    <w:rPr>
      <w:rFonts w:asciiTheme="majorHAnsi" w:eastAsia="Trebuchet MS" w:hAnsiTheme="majorHAnsi" w:cstheme="majorHAnsi"/>
      <w:color w:val="333333"/>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uip/strategyguide-coachingv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sse_l@cde.state.co.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e.state.co.us/uip/strategyguide-datadrivenv2" TargetMode="External"/><Relationship Id="rId4" Type="http://schemas.openxmlformats.org/officeDocument/2006/relationships/webSettings" Target="webSettings.xml"/><Relationship Id="rId9" Type="http://schemas.openxmlformats.org/officeDocument/2006/relationships/hyperlink" Target="https://www.cde.state.co.us/uip/strategyguide-missionvi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1687</Words>
  <Characters>10668</Characters>
  <Application>Microsoft Office Word</Application>
  <DocSecurity>0</DocSecurity>
  <Lines>222</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Hesse, Lauren</cp:lastModifiedBy>
  <cp:revision>23</cp:revision>
  <dcterms:created xsi:type="dcterms:W3CDTF">2025-05-30T20:49:00Z</dcterms:created>
  <dcterms:modified xsi:type="dcterms:W3CDTF">2025-05-30T21:31:00Z</dcterms:modified>
</cp:coreProperties>
</file>