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BEEA" w14:textId="77777777" w:rsidR="00116E09" w:rsidRDefault="00ED31A3">
      <w:pPr>
        <w:pStyle w:val="Heading1"/>
        <w:ind w:left="3" w:hanging="5"/>
      </w:pPr>
      <w:r>
        <w:t>Unified Improvement Planning</w:t>
      </w:r>
    </w:p>
    <w:p w14:paraId="16DFC458" w14:textId="3CC738D6" w:rsidR="00116E09" w:rsidRDefault="00ED31A3">
      <w:pPr>
        <w:pStyle w:val="Heading2"/>
        <w:ind w:left="1" w:hanging="3"/>
      </w:pPr>
      <w:r>
        <w:t xml:space="preserve">Guidance for </w:t>
      </w:r>
      <w:r w:rsidR="005C3F67">
        <w:t xml:space="preserve">UIP Template </w:t>
      </w:r>
      <w:r w:rsidR="005B0F68">
        <w:t>Category</w:t>
      </w:r>
      <w:r>
        <w:t xml:space="preserve"> </w:t>
      </w:r>
      <w:r w:rsidR="005C3F67">
        <w:t>Dropdowns</w:t>
      </w:r>
    </w:p>
    <w:p w14:paraId="217C1353" w14:textId="76D5FDD0" w:rsidR="00116E09" w:rsidRDefault="005C3F67">
      <w:pPr>
        <w:pStyle w:val="Heading3"/>
        <w:widowControl w:val="0"/>
        <w:ind w:left="1" w:hanging="3"/>
      </w:pPr>
      <w:bookmarkStart w:id="0" w:name="_heading=h.xprjpdo61oa3" w:colFirst="0" w:colLast="0"/>
      <w:bookmarkEnd w:id="0"/>
      <w:r>
        <w:t>Purpose</w:t>
      </w:r>
    </w:p>
    <w:p w14:paraId="2FFE2933" w14:textId="56BDBFFA" w:rsidR="00116E09" w:rsidRDefault="005C3F67">
      <w:pPr>
        <w:rPr>
          <w:sz w:val="24"/>
          <w:szCs w:val="24"/>
        </w:rPr>
      </w:pPr>
      <w:r>
        <w:rPr>
          <w:sz w:val="24"/>
          <w:szCs w:val="24"/>
        </w:rPr>
        <w:t xml:space="preserve">As of the 2023-24 </w:t>
      </w:r>
      <w:r w:rsidR="0095607B">
        <w:rPr>
          <w:sz w:val="24"/>
          <w:szCs w:val="24"/>
        </w:rPr>
        <w:t>school year</w:t>
      </w:r>
      <w:r>
        <w:rPr>
          <w:sz w:val="24"/>
          <w:szCs w:val="24"/>
        </w:rPr>
        <w:t xml:space="preserve">, users </w:t>
      </w:r>
      <w:r w:rsidR="0095607B">
        <w:rPr>
          <w:sz w:val="24"/>
          <w:szCs w:val="24"/>
        </w:rPr>
        <w:t>must</w:t>
      </w:r>
      <w:r>
        <w:rPr>
          <w:sz w:val="24"/>
          <w:szCs w:val="24"/>
        </w:rPr>
        <w:t xml:space="preserve"> </w:t>
      </w:r>
      <w:r w:rsidR="009A29F7">
        <w:rPr>
          <w:sz w:val="24"/>
          <w:szCs w:val="24"/>
        </w:rPr>
        <w:t>assign</w:t>
      </w:r>
      <w:r>
        <w:rPr>
          <w:sz w:val="24"/>
          <w:szCs w:val="24"/>
        </w:rPr>
        <w:t xml:space="preserve"> a </w:t>
      </w:r>
      <w:r w:rsidR="009A29F7">
        <w:rPr>
          <w:sz w:val="24"/>
          <w:szCs w:val="24"/>
        </w:rPr>
        <w:t>c</w:t>
      </w:r>
      <w:r w:rsidR="005B0F68">
        <w:rPr>
          <w:sz w:val="24"/>
          <w:szCs w:val="24"/>
        </w:rPr>
        <w:t>ategory</w:t>
      </w:r>
      <w:r>
        <w:rPr>
          <w:sz w:val="24"/>
          <w:szCs w:val="24"/>
        </w:rPr>
        <w:t xml:space="preserve"> </w:t>
      </w:r>
      <w:r w:rsidR="009A29F7">
        <w:rPr>
          <w:sz w:val="24"/>
          <w:szCs w:val="24"/>
        </w:rPr>
        <w:t>to</w:t>
      </w:r>
      <w:r w:rsidR="00B67CE3">
        <w:rPr>
          <w:sz w:val="24"/>
          <w:szCs w:val="24"/>
        </w:rPr>
        <w:t xml:space="preserve"> each of</w:t>
      </w:r>
      <w:r>
        <w:rPr>
          <w:sz w:val="24"/>
          <w:szCs w:val="24"/>
        </w:rPr>
        <w:t xml:space="preserve"> the primary UIP elements (</w:t>
      </w:r>
      <w:r w:rsidR="00210482">
        <w:rPr>
          <w:sz w:val="24"/>
          <w:szCs w:val="24"/>
        </w:rPr>
        <w:t>e.g.,</w:t>
      </w:r>
      <w:r>
        <w:rPr>
          <w:sz w:val="24"/>
          <w:szCs w:val="24"/>
        </w:rPr>
        <w:t xml:space="preserve"> P</w:t>
      </w:r>
      <w:r w:rsidRPr="005C3F67">
        <w:rPr>
          <w:sz w:val="24"/>
          <w:szCs w:val="24"/>
        </w:rPr>
        <w:t xml:space="preserve">riority </w:t>
      </w:r>
      <w:r>
        <w:rPr>
          <w:sz w:val="24"/>
          <w:szCs w:val="24"/>
        </w:rPr>
        <w:t>P</w:t>
      </w:r>
      <w:r w:rsidRPr="005C3F67">
        <w:rPr>
          <w:sz w:val="24"/>
          <w:szCs w:val="24"/>
        </w:rPr>
        <w:t xml:space="preserve">erformance </w:t>
      </w:r>
      <w:r>
        <w:rPr>
          <w:sz w:val="24"/>
          <w:szCs w:val="24"/>
        </w:rPr>
        <w:t>C</w:t>
      </w:r>
      <w:r w:rsidRPr="005C3F67">
        <w:rPr>
          <w:sz w:val="24"/>
          <w:szCs w:val="24"/>
        </w:rPr>
        <w:t xml:space="preserve">hallenges, </w:t>
      </w:r>
      <w:r>
        <w:rPr>
          <w:sz w:val="24"/>
          <w:szCs w:val="24"/>
        </w:rPr>
        <w:t>R</w:t>
      </w:r>
      <w:r w:rsidRPr="005C3F67">
        <w:rPr>
          <w:sz w:val="24"/>
          <w:szCs w:val="24"/>
        </w:rPr>
        <w:t xml:space="preserve">oot </w:t>
      </w:r>
      <w:r>
        <w:rPr>
          <w:sz w:val="24"/>
          <w:szCs w:val="24"/>
        </w:rPr>
        <w:t>C</w:t>
      </w:r>
      <w:r w:rsidRPr="005C3F67">
        <w:rPr>
          <w:sz w:val="24"/>
          <w:szCs w:val="24"/>
        </w:rPr>
        <w:t>auses</w:t>
      </w:r>
      <w:r>
        <w:rPr>
          <w:sz w:val="24"/>
          <w:szCs w:val="24"/>
        </w:rPr>
        <w:t>,</w:t>
      </w:r>
      <w:r w:rsidRPr="005C3F67">
        <w:rPr>
          <w:sz w:val="24"/>
          <w:szCs w:val="24"/>
        </w:rPr>
        <w:t xml:space="preserve"> and </w:t>
      </w:r>
      <w:r>
        <w:rPr>
          <w:sz w:val="24"/>
          <w:szCs w:val="24"/>
        </w:rPr>
        <w:t>M</w:t>
      </w:r>
      <w:r w:rsidRPr="005C3F67">
        <w:rPr>
          <w:sz w:val="24"/>
          <w:szCs w:val="24"/>
        </w:rPr>
        <w:t xml:space="preserve">ajor </w:t>
      </w:r>
      <w:r>
        <w:rPr>
          <w:sz w:val="24"/>
          <w:szCs w:val="24"/>
        </w:rPr>
        <w:t>I</w:t>
      </w:r>
      <w:r w:rsidRPr="005C3F67">
        <w:rPr>
          <w:sz w:val="24"/>
          <w:szCs w:val="24"/>
        </w:rPr>
        <w:t xml:space="preserve">mprovement </w:t>
      </w:r>
      <w:r>
        <w:rPr>
          <w:sz w:val="24"/>
          <w:szCs w:val="24"/>
        </w:rPr>
        <w:t>S</w:t>
      </w:r>
      <w:r w:rsidRPr="005C3F67">
        <w:rPr>
          <w:sz w:val="24"/>
          <w:szCs w:val="24"/>
        </w:rPr>
        <w:t>trategies</w:t>
      </w:r>
      <w:r>
        <w:rPr>
          <w:sz w:val="24"/>
          <w:szCs w:val="24"/>
        </w:rPr>
        <w:t xml:space="preserve">) </w:t>
      </w:r>
      <w:r w:rsidR="00B67CE3">
        <w:rPr>
          <w:sz w:val="24"/>
          <w:szCs w:val="24"/>
        </w:rPr>
        <w:t xml:space="preserve">via dropdowns </w:t>
      </w:r>
      <w:r>
        <w:rPr>
          <w:sz w:val="24"/>
          <w:szCs w:val="24"/>
        </w:rPr>
        <w:t xml:space="preserve">in the UIP template. </w:t>
      </w:r>
      <w:r w:rsidR="009A29F7">
        <w:rPr>
          <w:sz w:val="24"/>
          <w:szCs w:val="24"/>
        </w:rPr>
        <w:t xml:space="preserve">These categories can be used to support district-level analysis of UIP elements. </w:t>
      </w:r>
    </w:p>
    <w:p w14:paraId="447F5F65" w14:textId="77777777" w:rsidR="00116E09" w:rsidRDefault="00116E09"/>
    <w:p w14:paraId="657B85AC" w14:textId="73AD563C" w:rsidR="00116E09" w:rsidRDefault="008379C4">
      <w:pPr>
        <w:pStyle w:val="Heading3"/>
        <w:widowControl w:val="0"/>
        <w:ind w:left="1" w:hanging="3"/>
      </w:pPr>
      <w:bookmarkStart w:id="1" w:name="_heading=h.bviy6yw9z8sz" w:colFirst="0" w:colLast="0"/>
      <w:bookmarkEnd w:id="1"/>
      <w:r>
        <w:t>Category Descriptions</w:t>
      </w:r>
    </w:p>
    <w:p w14:paraId="51F901B0" w14:textId="0F67EDAA" w:rsidR="00116E09" w:rsidRDefault="008379C4" w:rsidP="0095607B">
      <w:pPr>
        <w:rPr>
          <w:sz w:val="24"/>
          <w:szCs w:val="24"/>
        </w:rPr>
      </w:pPr>
      <w:r>
        <w:rPr>
          <w:sz w:val="24"/>
          <w:szCs w:val="24"/>
        </w:rPr>
        <w:t xml:space="preserve">Refer to the below descriptions to select the most appropriate category for each UIP element. </w:t>
      </w:r>
      <w:r w:rsidR="00C52651">
        <w:rPr>
          <w:sz w:val="24"/>
          <w:szCs w:val="24"/>
        </w:rPr>
        <w:t xml:space="preserve">Contact </w:t>
      </w:r>
      <w:hyperlink r:id="rId8" w:history="1">
        <w:r w:rsidR="00C52651" w:rsidRPr="007633D6">
          <w:rPr>
            <w:rStyle w:val="Hyperlink"/>
            <w:sz w:val="24"/>
            <w:szCs w:val="24"/>
          </w:rPr>
          <w:t>uiphelp@cde.state.co.us</w:t>
        </w:r>
      </w:hyperlink>
      <w:r w:rsidR="00C52651">
        <w:rPr>
          <w:sz w:val="24"/>
          <w:szCs w:val="24"/>
        </w:rPr>
        <w:t xml:space="preserve"> if none of the categories fit with your UIP element. 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8542"/>
      </w:tblGrid>
      <w:tr w:rsidR="00330531" w14:paraId="37CD76EB" w14:textId="77777777" w:rsidTr="00D36454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B11F9" w14:textId="77777777" w:rsidR="00330531" w:rsidRPr="00A84CAF" w:rsidRDefault="003305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Priority Performance Challenge Categories</w:t>
            </w:r>
          </w:p>
        </w:tc>
      </w:tr>
      <w:tr w:rsidR="00330531" w14:paraId="4CD385A7" w14:textId="77777777" w:rsidTr="00D36454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7D9B4" w14:textId="77777777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7C168" w14:textId="77777777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330531" w14:paraId="447F0FD9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BB2D75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Early literacy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BE0E2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Challenges in early literacy (PreK-3) achievement</w:t>
            </w:r>
          </w:p>
        </w:tc>
      </w:tr>
      <w:tr w:rsidR="00330531" w14:paraId="1ACE2569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8FD830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Math achievement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6599E7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Math achievement challenges at any level: ES/MS/HS</w:t>
            </w:r>
          </w:p>
        </w:tc>
      </w:tr>
      <w:tr w:rsidR="00330531" w14:paraId="2F241E40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7DF599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Math growth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3E13A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Math growth challenges at any level: ES/MS/HS</w:t>
            </w:r>
          </w:p>
        </w:tc>
      </w:tr>
      <w:tr w:rsidR="00330531" w14:paraId="215D7A6A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94F39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ELA achievement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10C9B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ELA achievement challenges at any level: ES/MS/HS</w:t>
            </w:r>
          </w:p>
        </w:tc>
      </w:tr>
      <w:tr w:rsidR="00330531" w14:paraId="77C7081E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E01C3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ELA growth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0653BA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ELA growth challenges at any level: ES/MS/HS</w:t>
            </w:r>
          </w:p>
        </w:tc>
      </w:tr>
      <w:tr w:rsidR="00330531" w14:paraId="3133FAE1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8F695A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WIDA Access growth/growth challenges for English Learners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C95E4F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Growth challenges for English Learners/Multilingual Learners based on WIDA Access or other state assessment data</w:t>
            </w:r>
          </w:p>
        </w:tc>
      </w:tr>
      <w:tr w:rsidR="00330531" w14:paraId="571E2EA3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2C5F15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Science achievement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87E32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Science achievement challenges at any level: ES/MS/HS</w:t>
            </w:r>
          </w:p>
        </w:tc>
      </w:tr>
      <w:tr w:rsidR="00330531" w14:paraId="227B9087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F00166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Other achievement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728C43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Achievement challenges in other content areas than Math, ELA, or Science at any level: ES/MS/HS. Includes ACCESS data and Social Studies</w:t>
            </w:r>
          </w:p>
        </w:tc>
      </w:tr>
      <w:tr w:rsidR="00330531" w14:paraId="0EC7E7CE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448A2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Other growth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436009" w14:textId="203F6560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Growth challenges in other content areas than Math, ELA, ACCESS, or Science at any level: ES/MS/HS. Includes Social Studies</w:t>
            </w:r>
          </w:p>
        </w:tc>
      </w:tr>
      <w:tr w:rsidR="00330531" w14:paraId="0CCA65F4" w14:textId="77777777" w:rsidTr="00330531">
        <w:trPr>
          <w:trHeight w:val="705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147599" w14:textId="58E2C411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Student engagement (e.g., attendance, mobility, chronic absenteeism)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0250D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student engagement in learning</w:t>
            </w:r>
          </w:p>
        </w:tc>
      </w:tr>
      <w:tr w:rsidR="00330531" w14:paraId="6222A07C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5E96D" w14:textId="32DE5818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Behavior (e.g., suspensions, expulsions, behavior referrals)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C8E5BF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Challenges related to student behavior</w:t>
            </w:r>
          </w:p>
        </w:tc>
      </w:tr>
      <w:tr w:rsidR="00330531" w14:paraId="2EE52460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3958D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School/District culture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3D40A1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 suggests that school and/or district culture presents a barrier to student learning</w:t>
            </w:r>
          </w:p>
        </w:tc>
      </w:tr>
      <w:tr w:rsidR="00D36454" w:rsidRPr="00A84CAF" w14:paraId="2D24DD1F" w14:textId="77777777" w:rsidTr="00D36454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BE2B4" w14:textId="04CCF6DC" w:rsidR="00D36454" w:rsidRPr="00A84CAF" w:rsidRDefault="00D36454" w:rsidP="00CC145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Priority Performance Challenge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D36454" w:rsidRPr="00A84CAF" w14:paraId="17C59A4F" w14:textId="77777777" w:rsidTr="00D36454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43BDE8" w14:textId="77777777" w:rsidR="00D36454" w:rsidRPr="00A84CAF" w:rsidRDefault="00D36454" w:rsidP="00CC14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970B5" w14:textId="77777777" w:rsidR="00D36454" w:rsidRPr="00A84CAF" w:rsidRDefault="00D36454" w:rsidP="00CC14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330531" w14:paraId="131D33D5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B14015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Equitable practices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F42ADD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 suggests inequitable practices or a lack of culturally appropriate or responsive practices are impacting one or more disaggregated student groups</w:t>
            </w:r>
          </w:p>
        </w:tc>
      </w:tr>
      <w:tr w:rsidR="00330531" w14:paraId="5E7E0D31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5A3A29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Social Emotional/Trauma-Informed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76112F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Challenges related to the lack of non-academic supports - include mental health concerns, health concerns, trauma</w:t>
            </w:r>
          </w:p>
        </w:tc>
      </w:tr>
      <w:tr w:rsidR="00330531" w14:paraId="18B8A866" w14:textId="77777777" w:rsidTr="00330531">
        <w:trPr>
          <w:trHeight w:val="675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CCF7D4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Postsecondary Workforce Readiness (Graduation/Completion Rate)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4C507D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Graduation/completion rate data suggests that students are not ready for postsecondary options</w:t>
            </w:r>
          </w:p>
        </w:tc>
      </w:tr>
      <w:tr w:rsidR="00330531" w14:paraId="51279E71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1147D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Postsecondary Workforce Readiness (Dropout Rate)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1BEB88" w14:textId="1551AE20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Dropout rate data suggests that students are not ready for postsecondary options</w:t>
            </w:r>
          </w:p>
        </w:tc>
      </w:tr>
      <w:tr w:rsidR="00330531" w14:paraId="2B130243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62D50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Postsecondary Workforce Readiness (Matriculation Rate)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355537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Matriculation rate data suggests that students are not ready for postsecondary options</w:t>
            </w:r>
          </w:p>
        </w:tc>
      </w:tr>
      <w:tr w:rsidR="00330531" w14:paraId="0C95A141" w14:textId="77777777" w:rsidTr="00330531">
        <w:trPr>
          <w:trHeight w:val="570"/>
        </w:trPr>
        <w:tc>
          <w:tcPr>
            <w:tcW w:w="2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4A91AB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Postsecondary Workforce Readiness (Other)</w:t>
            </w:r>
          </w:p>
        </w:tc>
        <w:tc>
          <w:tcPr>
            <w:tcW w:w="8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C311FB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Other PWR data suggests that students are not ready for postsecondary options</w:t>
            </w:r>
          </w:p>
        </w:tc>
      </w:tr>
    </w:tbl>
    <w:p w14:paraId="4C9775AB" w14:textId="77777777" w:rsidR="008379C4" w:rsidRDefault="008379C4" w:rsidP="0095607B">
      <w:pPr>
        <w:rPr>
          <w:sz w:val="24"/>
          <w:szCs w:val="24"/>
        </w:rPr>
      </w:pP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8513"/>
      </w:tblGrid>
      <w:tr w:rsidR="00330531" w14:paraId="14350A32" w14:textId="77777777" w:rsidTr="005019AA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B8D9F" w14:textId="77777777" w:rsidR="00330531" w:rsidRPr="00A84CAF" w:rsidRDefault="003305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Root Cause Categories</w:t>
            </w:r>
          </w:p>
        </w:tc>
      </w:tr>
      <w:tr w:rsidR="00330531" w14:paraId="5371B0B4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D4D656" w14:textId="77777777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2F8798" w14:textId="77777777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330531" w14:paraId="04F0265C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4C52D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Equity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5D3CBF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 xml:space="preserve">Lack of equitable/culturally appropriate/responsive practices; focused on one or more disaggregated groups </w:t>
            </w:r>
          </w:p>
        </w:tc>
      </w:tr>
      <w:tr w:rsidR="00330531" w14:paraId="1CF0D232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C4907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Intervention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A4E75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or inconsistent implementation of intervention systems (MTSS, progress monitoring)</w:t>
            </w:r>
          </w:p>
        </w:tc>
      </w:tr>
      <w:tr w:rsidR="00330531" w14:paraId="7945AB45" w14:textId="77777777" w:rsidTr="005019AA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C8D06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7AF640" w14:textId="76BBABC5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high-quality instructional practices aligned to grade level and differentiated student needs, lack of data</w:t>
            </w:r>
            <w:r>
              <w:rPr>
                <w:rFonts w:asciiTheme="majorHAnsi" w:hAnsiTheme="majorHAnsi" w:cstheme="majorHAnsi"/>
              </w:rPr>
              <w:t>-</w:t>
            </w:r>
            <w:r w:rsidRPr="00330531">
              <w:rPr>
                <w:rFonts w:asciiTheme="majorHAnsi" w:hAnsiTheme="majorHAnsi" w:cstheme="majorHAnsi"/>
              </w:rPr>
              <w:t>driven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30531">
              <w:rPr>
                <w:rFonts w:asciiTheme="majorHAnsi" w:hAnsiTheme="majorHAnsi" w:cstheme="majorHAnsi"/>
              </w:rPr>
              <w:t>or research based instructional practices, or poor content specific instruction (e.g., literacy). Also include inconsistent implementation of district desired instructional practices</w:t>
            </w:r>
          </w:p>
        </w:tc>
      </w:tr>
      <w:tr w:rsidR="00330531" w14:paraId="59CB7E20" w14:textId="77777777" w:rsidTr="005019AA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C874D9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376933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curricular resources/inconsistent implementation of curriculum/wrong curriculum/lack of alignment between curriculum and instruction/curriculum not aligned to Colorado Academic Standards/instruction not at grade level due to curriculum</w:t>
            </w:r>
          </w:p>
        </w:tc>
      </w:tr>
      <w:tr w:rsidR="00330531" w14:paraId="755515CF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B28A98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 Analysis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BE034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knowledge/inconsistent use of data analysis. May indicate the school/district has access to data, but does not use it or does not use it well</w:t>
            </w:r>
          </w:p>
        </w:tc>
      </w:tr>
      <w:tr w:rsidR="00330531" w14:paraId="26A6993A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32AE1E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Infrastructure (data, systems, identification)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4EA1EC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structure to collect data, systems for identification. May indicate a lack of access to data</w:t>
            </w:r>
          </w:p>
        </w:tc>
      </w:tr>
      <w:tr w:rsidR="00330531" w14:paraId="59DC4076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10C47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Behavior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50E134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or inconsistent implementation of systems to address student behavioral issues</w:t>
            </w:r>
          </w:p>
        </w:tc>
      </w:tr>
      <w:tr w:rsidR="00330531" w14:paraId="5C9B224C" w14:textId="77777777" w:rsidTr="005019AA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A1CE06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Student Engagement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9B03E" w14:textId="1B37039F" w:rsidR="00330531" w:rsidRPr="00330531" w:rsidRDefault="00330531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or inconsistent use of systems to support student engagement (e.g., student attendance, mobility, stability, chronic absenteeism). For student behavior concerns, please use the code above for "Behavior Systems"</w:t>
            </w:r>
          </w:p>
        </w:tc>
      </w:tr>
      <w:tr w:rsidR="005019AA" w:rsidRPr="00A84CAF" w14:paraId="3DAA5A26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F28914" w14:textId="6010A21D" w:rsidR="005019AA" w:rsidRPr="00A84CAF" w:rsidRDefault="005019AA" w:rsidP="005019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30531">
              <w:rPr>
                <w:rFonts w:asciiTheme="majorHAnsi" w:hAnsiTheme="majorHAnsi" w:cstheme="majorHAnsi"/>
              </w:rPr>
              <w:t>Family/Community Engagement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C174CA" w14:textId="14A85FEC" w:rsidR="005019AA" w:rsidRPr="00A84CAF" w:rsidRDefault="005019AA" w:rsidP="005019AA">
            <w:pPr>
              <w:rPr>
                <w:b/>
                <w:bCs/>
                <w:sz w:val="24"/>
                <w:szCs w:val="24"/>
              </w:rPr>
            </w:pPr>
            <w:r w:rsidRPr="00330531">
              <w:rPr>
                <w:rFonts w:asciiTheme="majorHAnsi" w:hAnsiTheme="majorHAnsi" w:cstheme="majorHAnsi"/>
              </w:rPr>
              <w:t>Lack of or inconsistent implementation of strategies to encourage family and/or community engagement</w:t>
            </w:r>
          </w:p>
        </w:tc>
      </w:tr>
      <w:tr w:rsidR="005019AA" w:rsidRPr="00A84CAF" w14:paraId="306D65EC" w14:textId="77777777" w:rsidTr="005019AA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E9C41" w14:textId="74484D7E" w:rsidR="005019AA" w:rsidRPr="00A84CAF" w:rsidRDefault="005019AA" w:rsidP="005019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Root Cause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5019AA" w:rsidRPr="00A84CAF" w14:paraId="1ABE4A37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BCF52" w14:textId="77777777" w:rsidR="005019AA" w:rsidRPr="00A84CAF" w:rsidRDefault="005019AA" w:rsidP="005019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7D6CA8" w14:textId="77777777" w:rsidR="005019AA" w:rsidRPr="00A84CAF" w:rsidRDefault="005019AA" w:rsidP="005019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5019AA" w14:paraId="54E8320E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DD441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Teacher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64B7B4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co-teaching/co-planning, PLCs, teacher collaboration, coaching structures</w:t>
            </w:r>
          </w:p>
        </w:tc>
      </w:tr>
      <w:tr w:rsidR="005019AA" w14:paraId="62600E96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52FBB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Social Emotional/Trauma-Informed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50150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or inconsistent implementation of systems to support non-academic needs. Include mental health support, SEL instruction, trauma, pandemic related stress.</w:t>
            </w:r>
          </w:p>
        </w:tc>
      </w:tr>
      <w:tr w:rsidR="005019AA" w14:paraId="1B8BB223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1C76FF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Staffing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0DDAB2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Causes related to staffing including turnover, lack of staffing</w:t>
            </w:r>
          </w:p>
        </w:tc>
      </w:tr>
      <w:tr w:rsidR="005019AA" w14:paraId="0E08FCE3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3DA987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Mission and 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9D7E74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Lack of shared vision; lack of shared mission</w:t>
            </w:r>
          </w:p>
        </w:tc>
      </w:tr>
      <w:tr w:rsidR="005019AA" w14:paraId="2B820FB7" w14:textId="77777777" w:rsidTr="005019A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DA54A7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Schedule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EE4963" w14:textId="77777777" w:rsidR="005019AA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Scheduling considerations prevent or hinder implementation of improvement strategies or result in poor achievement or other issues</w:t>
            </w:r>
          </w:p>
        </w:tc>
      </w:tr>
    </w:tbl>
    <w:p w14:paraId="105A5488" w14:textId="77777777" w:rsidR="00116E09" w:rsidRDefault="00116E09">
      <w:pPr>
        <w:ind w:left="720"/>
        <w:rPr>
          <w:sz w:val="24"/>
          <w:szCs w:val="24"/>
        </w:rPr>
      </w:pP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231"/>
        <w:gridCol w:w="7098"/>
      </w:tblGrid>
      <w:tr w:rsidR="00330531" w14:paraId="2ED77EBA" w14:textId="77777777" w:rsidTr="00D36454">
        <w:trPr>
          <w:trHeight w:val="57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88732" w14:textId="77777777" w:rsidR="00330531" w:rsidRPr="00A84CAF" w:rsidRDefault="003305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Major Improvement Strategy Categories</w:t>
            </w:r>
          </w:p>
        </w:tc>
      </w:tr>
      <w:tr w:rsidR="00330531" w14:paraId="17652040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57F43" w14:textId="77777777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8FF113" w14:textId="77777777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204788" w14:textId="031403A5" w:rsidR="00330531" w:rsidRPr="00A84CAF" w:rsidRDefault="0033053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</w:t>
            </w:r>
            <w:r w:rsidR="00892E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s/Activities</w:t>
            </w:r>
          </w:p>
        </w:tc>
      </w:tr>
      <w:tr w:rsidR="00330531" w14:paraId="2AB5AE2D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92E3AF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Mission and Vision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357F67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Mission- and vision-informed decision making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54931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Mission/vision planning</w:t>
            </w:r>
          </w:p>
        </w:tc>
      </w:tr>
      <w:tr w:rsidR="00330531" w14:paraId="34AB55E5" w14:textId="77777777" w:rsidTr="00D36454">
        <w:trPr>
          <w:trHeight w:val="675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E7B1DE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Continuous Improvement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F49FE" w14:textId="02CB5E62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Commitment to continuous improvement processes including goal setting, progress monitoring, and program evaluation, focused on systems instead of only focusing on strategy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E685E3" w14:textId="0C3C6E8C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Strategy focused on working with an external partner for support to drive turnaround efforts</w:t>
            </w:r>
            <w:r w:rsidRPr="00330531">
              <w:rPr>
                <w:rFonts w:asciiTheme="majorHAnsi" w:hAnsiTheme="majorHAnsi" w:cstheme="majorHAnsi"/>
              </w:rPr>
              <w:br/>
              <w:t>Leadership goal setting and monitoring (</w:t>
            </w:r>
            <w:r w:rsidR="00423337" w:rsidRPr="00330531">
              <w:rPr>
                <w:rFonts w:asciiTheme="majorHAnsi" w:hAnsiTheme="majorHAnsi" w:cstheme="majorHAnsi"/>
              </w:rPr>
              <w:t>e.g.,</w:t>
            </w:r>
            <w:r w:rsidRPr="00330531">
              <w:rPr>
                <w:rFonts w:asciiTheme="majorHAnsi" w:hAnsiTheme="majorHAnsi" w:cstheme="majorHAnsi"/>
              </w:rPr>
              <w:t xml:space="preserve"> </w:t>
            </w:r>
            <w:r w:rsidR="00423337" w:rsidRPr="00330531">
              <w:rPr>
                <w:rFonts w:asciiTheme="majorHAnsi" w:hAnsiTheme="majorHAnsi" w:cstheme="majorHAnsi"/>
              </w:rPr>
              <w:t>90-day</w:t>
            </w:r>
            <w:r w:rsidRPr="00330531">
              <w:rPr>
                <w:rFonts w:asciiTheme="majorHAnsi" w:hAnsiTheme="majorHAnsi" w:cstheme="majorHAnsi"/>
              </w:rPr>
              <w:t xml:space="preserve"> plans, monitoring impact of schoolwide initiatives and priorities)</w:t>
            </w:r>
            <w:r w:rsidRPr="00330531">
              <w:rPr>
                <w:rFonts w:asciiTheme="majorHAnsi" w:hAnsiTheme="majorHAnsi" w:cstheme="majorHAnsi"/>
              </w:rPr>
              <w:br/>
              <w:t>Execute Improvement Cycles (Plan, Do, Study, Act)</w:t>
            </w:r>
            <w:r w:rsidRPr="00330531">
              <w:rPr>
                <w:rFonts w:asciiTheme="majorHAnsi" w:hAnsiTheme="majorHAnsi" w:cstheme="majorHAnsi"/>
              </w:rPr>
              <w:br/>
              <w:t>School redesign</w:t>
            </w:r>
          </w:p>
        </w:tc>
      </w:tr>
      <w:tr w:rsidR="00330531" w14:paraId="366F9269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0AF268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Instructional Leadership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024CCF" w14:textId="77777777" w:rsidR="00330531" w:rsidRPr="00330531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Managing teaming, collaboration, and leadership structures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BC139" w14:textId="77777777" w:rsidR="005019AA" w:rsidRDefault="00330531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ILT, teacher leaders</w:t>
            </w:r>
            <w:r w:rsidRPr="00330531">
              <w:rPr>
                <w:rFonts w:asciiTheme="majorHAnsi" w:hAnsiTheme="majorHAnsi" w:cstheme="majorHAnsi"/>
              </w:rPr>
              <w:br/>
              <w:t>Building the Capacity of the Instructional Leadership Team</w:t>
            </w:r>
            <w:r w:rsidRPr="00330531">
              <w:rPr>
                <w:rFonts w:asciiTheme="majorHAnsi" w:hAnsiTheme="majorHAnsi" w:cstheme="majorHAnsi"/>
              </w:rPr>
              <w:br/>
              <w:t>Monitor Instructional Systems</w:t>
            </w:r>
            <w:r w:rsidRPr="00330531">
              <w:rPr>
                <w:rFonts w:asciiTheme="majorHAnsi" w:hAnsiTheme="majorHAnsi" w:cstheme="majorHAnsi"/>
              </w:rPr>
              <w:br/>
              <w:t>Collaborative Planning</w:t>
            </w:r>
            <w:r w:rsidRPr="00330531">
              <w:rPr>
                <w:rFonts w:asciiTheme="majorHAnsi" w:hAnsiTheme="majorHAnsi" w:cstheme="majorHAnsi"/>
              </w:rPr>
              <w:br/>
              <w:t>Supporting Teachers with Planning</w:t>
            </w:r>
            <w:r w:rsidRPr="00330531">
              <w:rPr>
                <w:rFonts w:asciiTheme="majorHAnsi" w:hAnsiTheme="majorHAnsi" w:cstheme="majorHAnsi"/>
              </w:rPr>
              <w:br/>
              <w:t>Define clear role and responsibilities of the instructional leadership team</w:t>
            </w:r>
            <w:r w:rsidRPr="00330531">
              <w:rPr>
                <w:rFonts w:asciiTheme="majorHAnsi" w:hAnsiTheme="majorHAnsi" w:cstheme="majorHAnsi"/>
              </w:rPr>
              <w:br/>
              <w:t>Leverage and maximize the effectiveness of high-performing teachers, coaches, and leaders by using them as models and peer coaches.</w:t>
            </w:r>
            <w:r w:rsidRPr="00330531">
              <w:rPr>
                <w:rFonts w:asciiTheme="majorHAnsi" w:hAnsiTheme="majorHAnsi" w:cstheme="majorHAnsi"/>
              </w:rPr>
              <w:br/>
              <w:t>Deploy strategic staff/positions for strategic work</w:t>
            </w:r>
            <w:r w:rsidRPr="00330531">
              <w:rPr>
                <w:rFonts w:asciiTheme="majorHAnsi" w:hAnsiTheme="majorHAnsi" w:cstheme="majorHAnsi"/>
              </w:rPr>
              <w:br/>
              <w:t>Special Education and General Education Collaboration</w:t>
            </w:r>
            <w:r w:rsidRPr="00330531">
              <w:rPr>
                <w:rFonts w:asciiTheme="majorHAnsi" w:hAnsiTheme="majorHAnsi" w:cstheme="majorHAnsi"/>
              </w:rPr>
              <w:br/>
              <w:t>Coaching practices driven by concrete data analysis</w:t>
            </w:r>
            <w:r w:rsidRPr="00330531">
              <w:rPr>
                <w:rFonts w:asciiTheme="majorHAnsi" w:hAnsiTheme="majorHAnsi" w:cstheme="majorHAnsi"/>
              </w:rPr>
              <w:br/>
              <w:t>Plan and deliver regular opportunities for job-embedded learning that includes coaching, mentoring, and observation</w:t>
            </w:r>
            <w:r w:rsidRPr="00330531">
              <w:rPr>
                <w:rFonts w:asciiTheme="majorHAnsi" w:hAnsiTheme="majorHAnsi" w:cstheme="majorHAnsi"/>
              </w:rPr>
              <w:br/>
              <w:t>Cycles of Professional Learning</w:t>
            </w:r>
          </w:p>
          <w:p w14:paraId="4AC09C72" w14:textId="77777777" w:rsidR="005019AA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Monitoring the impact of teacher coaching and feedback</w:t>
            </w:r>
          </w:p>
          <w:p w14:paraId="3C3AF22E" w14:textId="77777777" w:rsid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Define Purpose and Structures</w:t>
            </w:r>
            <w:r w:rsidR="00330531" w:rsidRPr="00330531">
              <w:rPr>
                <w:rFonts w:asciiTheme="majorHAnsi" w:hAnsiTheme="majorHAnsi" w:cstheme="majorHAnsi"/>
              </w:rPr>
              <w:br/>
            </w:r>
            <w:r w:rsidRPr="00330531">
              <w:rPr>
                <w:rFonts w:asciiTheme="majorHAnsi" w:hAnsiTheme="majorHAnsi" w:cstheme="majorHAnsi"/>
              </w:rPr>
              <w:t>Vertical Teaming</w:t>
            </w:r>
          </w:p>
          <w:p w14:paraId="6249708C" w14:textId="4B4323A5" w:rsidR="00010DFD" w:rsidRPr="00330531" w:rsidRDefault="005019AA" w:rsidP="005019AA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ELD and General Education Collaboration</w:t>
            </w:r>
            <w:r w:rsidRPr="00330531">
              <w:rPr>
                <w:rFonts w:asciiTheme="majorHAnsi" w:hAnsiTheme="majorHAnsi" w:cstheme="majorHAnsi"/>
              </w:rPr>
              <w:br/>
              <w:t>Implement and Monitor Effective PLC practices</w:t>
            </w:r>
            <w:r w:rsidRPr="00330531">
              <w:rPr>
                <w:rFonts w:asciiTheme="majorHAnsi" w:hAnsiTheme="majorHAnsi" w:cstheme="majorHAnsi"/>
              </w:rPr>
              <w:br/>
              <w:t>Evaluate PLC Effectiveness (using rubric)</w:t>
            </w:r>
          </w:p>
        </w:tc>
      </w:tr>
      <w:tr w:rsidR="00D36454" w14:paraId="0793C141" w14:textId="77777777" w:rsidTr="00D36454">
        <w:trPr>
          <w:trHeight w:val="570"/>
        </w:trPr>
        <w:tc>
          <w:tcPr>
            <w:tcW w:w="107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5D1EF" w14:textId="199E4E12" w:rsidR="00D36454" w:rsidRPr="00A84CAF" w:rsidRDefault="00D36454" w:rsidP="00D364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Major Improvement Strategy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892E45" w14:paraId="4A1BC38C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2E675A" w14:textId="508C1B6F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3FBCAA" w14:textId="29B6A9B2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359ED9" w14:textId="42226770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s/Activities</w:t>
            </w:r>
          </w:p>
        </w:tc>
      </w:tr>
      <w:tr w:rsidR="00892E45" w14:paraId="7926278A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0EA48E" w14:textId="77777777" w:rsidR="00892E45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Instructional Leadership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FA786F7" w14:textId="77777777" w:rsidR="00892E45" w:rsidRDefault="00892E45" w:rsidP="00892E45">
            <w:pPr>
              <w:rPr>
                <w:rFonts w:asciiTheme="majorHAnsi" w:hAnsiTheme="majorHAnsi" w:cstheme="majorHAnsi"/>
              </w:rPr>
            </w:pPr>
          </w:p>
          <w:p w14:paraId="632DBBB7" w14:textId="08CBDB44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(continued)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874919" w14:textId="1A88660D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Managing teaming, collaboration, and leadership structures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0C3A52" w14:textId="51F37224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Increase Collaboration among Co-Teachers</w:t>
            </w:r>
            <w:r w:rsidRPr="00330531">
              <w:rPr>
                <w:rFonts w:asciiTheme="majorHAnsi" w:hAnsiTheme="majorHAnsi" w:cstheme="majorHAnsi"/>
              </w:rPr>
              <w:br/>
              <w:t>Responsive Coaching Model</w:t>
            </w:r>
            <w:r w:rsidRPr="00330531">
              <w:rPr>
                <w:rFonts w:asciiTheme="majorHAnsi" w:hAnsiTheme="majorHAnsi" w:cstheme="majorHAnsi"/>
              </w:rPr>
              <w:br/>
              <w:t>Collaboration with coaches to ensure teachers’ needs are met through concrete, manageable, and useful feedback</w:t>
            </w:r>
            <w:r w:rsidRPr="00330531">
              <w:rPr>
                <w:rFonts w:asciiTheme="majorHAnsi" w:hAnsiTheme="majorHAnsi" w:cstheme="majorHAnsi"/>
              </w:rPr>
              <w:br/>
              <w:t>Established roles, systems, and structures that support an effective coaching model</w:t>
            </w:r>
            <w:r w:rsidRPr="00330531">
              <w:rPr>
                <w:rFonts w:asciiTheme="majorHAnsi" w:hAnsiTheme="majorHAnsi" w:cstheme="majorHAnsi"/>
              </w:rPr>
              <w:br/>
              <w:t>Design Professional Learning (in cycles)</w:t>
            </w:r>
            <w:r w:rsidRPr="00330531">
              <w:rPr>
                <w:rFonts w:asciiTheme="majorHAnsi" w:hAnsiTheme="majorHAnsi" w:cstheme="majorHAnsi"/>
              </w:rPr>
              <w:br/>
              <w:t>Team Building</w:t>
            </w:r>
            <w:r w:rsidRPr="00330531">
              <w:rPr>
                <w:rFonts w:asciiTheme="majorHAnsi" w:hAnsiTheme="majorHAnsi" w:cstheme="majorHAnsi"/>
              </w:rPr>
              <w:br/>
              <w:t>Execute Walkthroughs</w:t>
            </w:r>
          </w:p>
        </w:tc>
      </w:tr>
      <w:tr w:rsidR="00892E45" w14:paraId="649D9E5C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50A108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Recruitment and Retention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E9669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Hiring and retention of staff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D0034" w14:textId="11D318C5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Plan proactively for recruiting and developing talent</w:t>
            </w:r>
            <w:r w:rsidRPr="00330531">
              <w:rPr>
                <w:rFonts w:asciiTheme="majorHAnsi" w:hAnsiTheme="majorHAnsi" w:cstheme="majorHAnsi"/>
              </w:rPr>
              <w:br/>
              <w:t>Partnerships with outside organizations (</w:t>
            </w:r>
            <w:r>
              <w:rPr>
                <w:rFonts w:asciiTheme="majorHAnsi" w:hAnsiTheme="majorHAnsi" w:cstheme="majorHAnsi"/>
              </w:rPr>
              <w:t xml:space="preserve">e.g., </w:t>
            </w:r>
            <w:r w:rsidRPr="00330531">
              <w:rPr>
                <w:rFonts w:asciiTheme="majorHAnsi" w:hAnsiTheme="majorHAnsi" w:cstheme="majorHAnsi"/>
              </w:rPr>
              <w:t>universities)</w:t>
            </w:r>
            <w:r w:rsidRPr="00330531">
              <w:rPr>
                <w:rFonts w:asciiTheme="majorHAnsi" w:hAnsiTheme="majorHAnsi" w:cstheme="majorHAnsi"/>
              </w:rPr>
              <w:br/>
              <w:t>Provide induction, mentoring, and accelerated supports to new or struggling teachers.</w:t>
            </w:r>
          </w:p>
        </w:tc>
      </w:tr>
      <w:tr w:rsidR="00892E45" w14:paraId="7BC785FF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1169A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Targeted Talent Development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5CC9FE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Professional development structures and practices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BDEA04" w14:textId="2B6B8F46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Offer and evaluate high-quality, culturally appropriate, responsive professional learning opportunities</w:t>
            </w:r>
            <w:r w:rsidRPr="00330531">
              <w:rPr>
                <w:rFonts w:asciiTheme="majorHAnsi" w:hAnsiTheme="majorHAnsi" w:cstheme="majorHAnsi"/>
              </w:rPr>
              <w:br/>
              <w:t>Balanced Literacy PD</w:t>
            </w:r>
            <w:r w:rsidRPr="00330531">
              <w:rPr>
                <w:rFonts w:asciiTheme="majorHAnsi" w:hAnsiTheme="majorHAnsi" w:cstheme="majorHAnsi"/>
              </w:rPr>
              <w:br/>
              <w:t>Competency Based Learning</w:t>
            </w:r>
            <w:r w:rsidRPr="00330531">
              <w:rPr>
                <w:rFonts w:asciiTheme="majorHAnsi" w:hAnsiTheme="majorHAnsi" w:cstheme="majorHAnsi"/>
              </w:rPr>
              <w:br/>
              <w:t>Differentiated PD</w:t>
            </w:r>
            <w:r w:rsidRPr="00330531">
              <w:rPr>
                <w:rFonts w:asciiTheme="majorHAnsi" w:hAnsiTheme="majorHAnsi" w:cstheme="majorHAnsi"/>
              </w:rPr>
              <w:br/>
              <w:t>Difficult Conversations</w:t>
            </w:r>
            <w:r w:rsidRPr="00330531">
              <w:rPr>
                <w:rFonts w:asciiTheme="majorHAnsi" w:hAnsiTheme="majorHAnsi" w:cstheme="majorHAnsi"/>
              </w:rPr>
              <w:br/>
              <w:t>Engaging All Students</w:t>
            </w:r>
            <w:r w:rsidRPr="00330531">
              <w:rPr>
                <w:rFonts w:asciiTheme="majorHAnsi" w:hAnsiTheme="majorHAnsi" w:cstheme="majorHAnsi"/>
              </w:rPr>
              <w:br/>
              <w:t>Equitable Educator Mindsets</w:t>
            </w:r>
            <w:r w:rsidRPr="00330531">
              <w:rPr>
                <w:rFonts w:asciiTheme="majorHAnsi" w:hAnsiTheme="majorHAnsi" w:cstheme="majorHAnsi"/>
              </w:rPr>
              <w:br/>
              <w:t>Book Study</w:t>
            </w:r>
            <w:r w:rsidRPr="00330531">
              <w:rPr>
                <w:rFonts w:asciiTheme="majorHAnsi" w:hAnsiTheme="majorHAnsi" w:cstheme="majorHAnsi"/>
              </w:rPr>
              <w:br/>
              <w:t>Instructional Strategies</w:t>
            </w:r>
            <w:r w:rsidRPr="00330531">
              <w:rPr>
                <w:rFonts w:asciiTheme="majorHAnsi" w:hAnsiTheme="majorHAnsi" w:cstheme="majorHAnsi"/>
              </w:rPr>
              <w:br/>
              <w:t>Mathematics</w:t>
            </w:r>
            <w:r w:rsidRPr="00330531">
              <w:rPr>
                <w:rFonts w:asciiTheme="majorHAnsi" w:hAnsiTheme="majorHAnsi" w:cstheme="majorHAnsi"/>
              </w:rPr>
              <w:br/>
              <w:t>Kagan Strategies</w:t>
            </w:r>
            <w:r w:rsidRPr="00330531">
              <w:rPr>
                <w:rFonts w:asciiTheme="majorHAnsi" w:hAnsiTheme="majorHAnsi" w:cstheme="majorHAnsi"/>
              </w:rPr>
              <w:br/>
              <w:t>Providing Student Feedback</w:t>
            </w:r>
            <w:r w:rsidRPr="00330531">
              <w:rPr>
                <w:rFonts w:asciiTheme="majorHAnsi" w:hAnsiTheme="majorHAnsi" w:cstheme="majorHAnsi"/>
              </w:rPr>
              <w:br/>
              <w:t>Questioning</w:t>
            </w:r>
            <w:r w:rsidRPr="00330531">
              <w:rPr>
                <w:rFonts w:asciiTheme="majorHAnsi" w:hAnsiTheme="majorHAnsi" w:cstheme="majorHAnsi"/>
              </w:rPr>
              <w:br/>
              <w:t>Rigor and Cognitive Load</w:t>
            </w:r>
            <w:r w:rsidRPr="00330531">
              <w:rPr>
                <w:rFonts w:asciiTheme="majorHAnsi" w:hAnsiTheme="majorHAnsi" w:cstheme="majorHAnsi"/>
              </w:rPr>
              <w:br/>
              <w:t>TLCA</w:t>
            </w:r>
            <w:r w:rsidRPr="00330531">
              <w:rPr>
                <w:rFonts w:asciiTheme="majorHAnsi" w:hAnsiTheme="majorHAnsi" w:cstheme="majorHAnsi"/>
              </w:rPr>
              <w:br/>
              <w:t>Visible Learning</w:t>
            </w:r>
            <w:r w:rsidRPr="00330531">
              <w:rPr>
                <w:rFonts w:asciiTheme="majorHAnsi" w:hAnsiTheme="majorHAnsi" w:cstheme="majorHAnsi"/>
              </w:rPr>
              <w:br/>
              <w:t>Learning Lab</w:t>
            </w:r>
            <w:r w:rsidRPr="00330531">
              <w:rPr>
                <w:rFonts w:asciiTheme="majorHAnsi" w:hAnsiTheme="majorHAnsi" w:cstheme="majorHAnsi"/>
              </w:rPr>
              <w:br/>
              <w:t>PLC Time and Effective Scheduling</w:t>
            </w:r>
            <w:r w:rsidRPr="00330531">
              <w:rPr>
                <w:rFonts w:asciiTheme="majorHAnsi" w:hAnsiTheme="majorHAnsi" w:cstheme="majorHAnsi"/>
              </w:rPr>
              <w:br/>
              <w:t>General 'alignment', not necessarily PLC</w:t>
            </w:r>
          </w:p>
        </w:tc>
      </w:tr>
      <w:tr w:rsidR="00892E45" w14:paraId="799E431A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6C9314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Instructional Evaluation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534174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Setting and monitoring of instructional expectations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02DB28" w14:textId="1DA26555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Communicate high expectations for a level of professional performance for every role in the system</w:t>
            </w:r>
            <w:r w:rsidRPr="00330531">
              <w:rPr>
                <w:rFonts w:asciiTheme="majorHAnsi" w:hAnsiTheme="majorHAnsi" w:cstheme="majorHAnsi"/>
              </w:rPr>
              <w:br/>
              <w:t>Develop and implement performance-management processes that include clear means for monitoring progress and delivering meaningful and actionable feedback</w:t>
            </w:r>
            <w:r w:rsidRPr="00330531">
              <w:rPr>
                <w:rFonts w:asciiTheme="majorHAnsi" w:hAnsiTheme="majorHAnsi" w:cstheme="majorHAnsi"/>
              </w:rPr>
              <w:br/>
              <w:t>Develop clear roles, responsibilities, and competencies for every position</w:t>
            </w:r>
          </w:p>
        </w:tc>
      </w:tr>
      <w:tr w:rsidR="00892E45" w14:paraId="7E139171" w14:textId="77777777" w:rsidTr="00892E45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8137C7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Curriculum and Content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45A688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Classroom materials are aligned to grade-level standards and content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95FA5" w14:textId="77777777" w:rsidR="00892E45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Differentiated Instruction</w:t>
            </w:r>
            <w:r w:rsidRPr="00330531">
              <w:rPr>
                <w:rFonts w:asciiTheme="majorHAnsi" w:hAnsiTheme="majorHAnsi" w:cstheme="majorHAnsi"/>
              </w:rPr>
              <w:br/>
              <w:t>Literacy/Language Arts</w:t>
            </w:r>
            <w:r w:rsidRPr="00330531">
              <w:rPr>
                <w:rFonts w:asciiTheme="majorHAnsi" w:hAnsiTheme="majorHAnsi" w:cstheme="majorHAnsi"/>
              </w:rPr>
              <w:br/>
              <w:t>Mathematics</w:t>
            </w:r>
            <w:r w:rsidRPr="00330531">
              <w:rPr>
                <w:rFonts w:asciiTheme="majorHAnsi" w:hAnsiTheme="majorHAnsi" w:cstheme="majorHAnsi"/>
              </w:rPr>
              <w:br/>
              <w:t>Science</w:t>
            </w:r>
            <w:r w:rsidRPr="00330531">
              <w:rPr>
                <w:rFonts w:asciiTheme="majorHAnsi" w:hAnsiTheme="majorHAnsi" w:cstheme="majorHAnsi"/>
              </w:rPr>
              <w:br/>
              <w:t>Writing</w:t>
            </w:r>
            <w:r w:rsidRPr="00330531">
              <w:rPr>
                <w:rFonts w:asciiTheme="majorHAnsi" w:hAnsiTheme="majorHAnsi" w:cstheme="majorHAnsi"/>
              </w:rPr>
              <w:br/>
              <w:t>Culturally Respons</w:t>
            </w:r>
            <w:r>
              <w:rPr>
                <w:rFonts w:asciiTheme="majorHAnsi" w:hAnsiTheme="majorHAnsi" w:cstheme="majorHAnsi"/>
              </w:rPr>
              <w:t>iv</w:t>
            </w:r>
            <w:r w:rsidRPr="00330531">
              <w:rPr>
                <w:rFonts w:asciiTheme="majorHAnsi" w:hAnsiTheme="majorHAnsi" w:cstheme="majorHAnsi"/>
              </w:rPr>
              <w:t>e Education</w:t>
            </w:r>
          </w:p>
          <w:p w14:paraId="244FB948" w14:textId="77777777" w:rsidR="005019AA" w:rsidRDefault="005019AA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Curriculum Adoption Process</w:t>
            </w:r>
            <w:r w:rsidRPr="00330531">
              <w:rPr>
                <w:rFonts w:asciiTheme="majorHAnsi" w:hAnsiTheme="majorHAnsi" w:cstheme="majorHAnsi"/>
              </w:rPr>
              <w:br/>
              <w:t>Explicit and Systematic Phonics Instruction</w:t>
            </w:r>
            <w:r w:rsidRPr="00330531">
              <w:rPr>
                <w:rFonts w:asciiTheme="majorHAnsi" w:hAnsiTheme="majorHAnsi" w:cstheme="majorHAnsi"/>
              </w:rPr>
              <w:br/>
              <w:t>Extend beyond early grades (K-5 Pathway)</w:t>
            </w:r>
          </w:p>
          <w:p w14:paraId="6212960E" w14:textId="5D6DF1C2" w:rsidR="00010DFD" w:rsidRPr="00330531" w:rsidRDefault="005019AA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Implementation of Reader's Workshop</w:t>
            </w:r>
            <w:r w:rsidRPr="00330531">
              <w:rPr>
                <w:rFonts w:asciiTheme="majorHAnsi" w:hAnsiTheme="majorHAnsi" w:cstheme="majorHAnsi"/>
              </w:rPr>
              <w:br/>
              <w:t>Interdisciplinary Unit Planning</w:t>
            </w:r>
            <w:r w:rsidRPr="00330531">
              <w:rPr>
                <w:rFonts w:asciiTheme="majorHAnsi" w:hAnsiTheme="majorHAnsi" w:cstheme="majorHAnsi"/>
              </w:rPr>
              <w:br/>
              <w:t>International Baccalaureate Program</w:t>
            </w:r>
          </w:p>
        </w:tc>
      </w:tr>
      <w:tr w:rsidR="00892E45" w14:paraId="382522C7" w14:textId="77777777" w:rsidTr="00892E45">
        <w:trPr>
          <w:trHeight w:val="570"/>
        </w:trPr>
        <w:tc>
          <w:tcPr>
            <w:tcW w:w="107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0FE35" w14:textId="1356E6B0" w:rsidR="00892E45" w:rsidRPr="00330531" w:rsidRDefault="00892E45" w:rsidP="00892E45">
            <w:pPr>
              <w:jc w:val="center"/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Major Improvement Strategy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892E45" w14:paraId="6CE934C7" w14:textId="77777777" w:rsidTr="00892E45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E32265" w14:textId="73755D88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AB5722" w14:textId="7892189F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3A700B" w14:textId="55756CFC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s/Activities</w:t>
            </w:r>
          </w:p>
        </w:tc>
      </w:tr>
      <w:tr w:rsidR="00892E45" w14:paraId="337439FD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53696D" w14:textId="77777777" w:rsidR="00892E45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Curriculum and Content</w:t>
            </w:r>
          </w:p>
          <w:p w14:paraId="22A33628" w14:textId="77777777" w:rsidR="00892E45" w:rsidRDefault="00892E45" w:rsidP="00892E45">
            <w:pPr>
              <w:rPr>
                <w:rFonts w:asciiTheme="majorHAnsi" w:hAnsiTheme="majorHAnsi" w:cstheme="majorHAnsi"/>
              </w:rPr>
            </w:pPr>
          </w:p>
          <w:p w14:paraId="65B75F17" w14:textId="308178EF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(continued)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C7EA05" w14:textId="1E7728A2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Classroom materials are aligned to grade-level standards and content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699489" w14:textId="00C615B4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STEAM, STEM Focus</w:t>
            </w:r>
            <w:r w:rsidRPr="00330531">
              <w:rPr>
                <w:rFonts w:asciiTheme="majorHAnsi" w:hAnsiTheme="majorHAnsi" w:cstheme="majorHAnsi"/>
              </w:rPr>
              <w:br/>
              <w:t>Standards-based/Grade Level Rigorous Instruction</w:t>
            </w:r>
            <w:r w:rsidRPr="00330531">
              <w:rPr>
                <w:rFonts w:asciiTheme="majorHAnsi" w:hAnsiTheme="majorHAnsi" w:cstheme="majorHAnsi"/>
              </w:rPr>
              <w:br/>
              <w:t>District Created Curriculum</w:t>
            </w:r>
            <w:r w:rsidRPr="00330531">
              <w:rPr>
                <w:rFonts w:asciiTheme="majorHAnsi" w:hAnsiTheme="majorHAnsi" w:cstheme="majorHAnsi"/>
              </w:rPr>
              <w:br/>
              <w:t>Identify level of rigor within the resource</w:t>
            </w:r>
            <w:r w:rsidRPr="00330531">
              <w:rPr>
                <w:rFonts w:asciiTheme="majorHAnsi" w:hAnsiTheme="majorHAnsi" w:cstheme="majorHAnsi"/>
              </w:rPr>
              <w:br/>
              <w:t>Balance Grade Level vs Instructional Level Text</w:t>
            </w:r>
            <w:r w:rsidRPr="00330531">
              <w:rPr>
                <w:rFonts w:asciiTheme="majorHAnsi" w:hAnsiTheme="majorHAnsi" w:cstheme="majorHAnsi"/>
              </w:rPr>
              <w:br/>
              <w:t>Complex Text</w:t>
            </w:r>
            <w:r w:rsidRPr="00330531">
              <w:rPr>
                <w:rFonts w:asciiTheme="majorHAnsi" w:hAnsiTheme="majorHAnsi" w:cstheme="majorHAnsi"/>
              </w:rPr>
              <w:br/>
              <w:t>Academic Language</w:t>
            </w:r>
            <w:r w:rsidRPr="00330531">
              <w:rPr>
                <w:rFonts w:asciiTheme="majorHAnsi" w:hAnsiTheme="majorHAnsi" w:cstheme="majorHAnsi"/>
              </w:rPr>
              <w:br/>
              <w:t>Curriculum/Instruction and Standards Alignment</w:t>
            </w:r>
            <w:r w:rsidRPr="00330531">
              <w:rPr>
                <w:rFonts w:asciiTheme="majorHAnsi" w:hAnsiTheme="majorHAnsi" w:cstheme="majorHAnsi"/>
              </w:rPr>
              <w:br/>
              <w:t>Implement Curriculum (with fidelity)</w:t>
            </w:r>
          </w:p>
        </w:tc>
      </w:tr>
      <w:tr w:rsidR="00892E45" w14:paraId="696FF955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BF8DA4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Research-based Instructional Practices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9B482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Instructional vision and approach reflect research-based practices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7E903B" w14:textId="314226FB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Marzano Instructional Model</w:t>
            </w:r>
            <w:r w:rsidRPr="00330531">
              <w:rPr>
                <w:rFonts w:asciiTheme="majorHAnsi" w:hAnsiTheme="majorHAnsi" w:cstheme="majorHAnsi"/>
              </w:rPr>
              <w:br/>
              <w:t>Best First Instruction/Tier 1 Instruction</w:t>
            </w:r>
            <w:r w:rsidRPr="00330531">
              <w:rPr>
                <w:rFonts w:asciiTheme="majorHAnsi" w:hAnsiTheme="majorHAnsi" w:cstheme="majorHAnsi"/>
              </w:rPr>
              <w:br/>
              <w:t>Co-Teaching Models</w:t>
            </w:r>
            <w:r w:rsidRPr="00330531">
              <w:rPr>
                <w:rFonts w:asciiTheme="majorHAnsi" w:hAnsiTheme="majorHAnsi" w:cstheme="majorHAnsi"/>
              </w:rPr>
              <w:br/>
              <w:t>Common Instructional Look Fors</w:t>
            </w:r>
            <w:r w:rsidRPr="00330531">
              <w:rPr>
                <w:rFonts w:asciiTheme="majorHAnsi" w:hAnsiTheme="majorHAnsi" w:cstheme="majorHAnsi"/>
              </w:rPr>
              <w:br/>
              <w:t>Competency Based Learning</w:t>
            </w:r>
            <w:r w:rsidRPr="00330531">
              <w:rPr>
                <w:rFonts w:asciiTheme="majorHAnsi" w:hAnsiTheme="majorHAnsi" w:cstheme="majorHAnsi"/>
              </w:rPr>
              <w:br/>
              <w:t>Depth of Knowledge Level 3 Task Implementation</w:t>
            </w:r>
            <w:r w:rsidRPr="00330531">
              <w:rPr>
                <w:rFonts w:asciiTheme="majorHAnsi" w:hAnsiTheme="majorHAnsi" w:cstheme="majorHAnsi"/>
              </w:rPr>
              <w:br/>
              <w:t>Discourse</w:t>
            </w:r>
            <w:r w:rsidRPr="00330531">
              <w:rPr>
                <w:rFonts w:asciiTheme="majorHAnsi" w:hAnsiTheme="majorHAnsi" w:cstheme="majorHAnsi"/>
              </w:rPr>
              <w:br/>
              <w:t>Student Practice and Student Feedback</w:t>
            </w:r>
            <w:r w:rsidRPr="00330531">
              <w:rPr>
                <w:rFonts w:asciiTheme="majorHAnsi" w:hAnsiTheme="majorHAnsi" w:cstheme="majorHAnsi"/>
              </w:rPr>
              <w:br/>
              <w:t>Project-Based Learning</w:t>
            </w:r>
            <w:r w:rsidRPr="00330531">
              <w:rPr>
                <w:rFonts w:asciiTheme="majorHAnsi" w:hAnsiTheme="majorHAnsi" w:cstheme="majorHAnsi"/>
              </w:rPr>
              <w:br/>
              <w:t>Student-ownership over learning</w:t>
            </w:r>
            <w:r w:rsidRPr="00330531">
              <w:rPr>
                <w:rFonts w:asciiTheme="majorHAnsi" w:hAnsiTheme="majorHAnsi" w:cstheme="majorHAnsi"/>
              </w:rPr>
              <w:br/>
              <w:t>Plan Re-teaching opportunities</w:t>
            </w:r>
            <w:r w:rsidRPr="00330531">
              <w:rPr>
                <w:rFonts w:asciiTheme="majorHAnsi" w:hAnsiTheme="majorHAnsi" w:cstheme="majorHAnsi"/>
              </w:rPr>
              <w:br/>
              <w:t>Balanced Literacy Instruction/Literacy Block</w:t>
            </w:r>
            <w:r w:rsidRPr="00330531">
              <w:rPr>
                <w:rFonts w:asciiTheme="majorHAnsi" w:hAnsiTheme="majorHAnsi" w:cstheme="majorHAnsi"/>
              </w:rPr>
              <w:br/>
              <w:t>Identifying and Plan for Pre-requisite Skills</w:t>
            </w:r>
            <w:r w:rsidRPr="00330531">
              <w:rPr>
                <w:rFonts w:asciiTheme="majorHAnsi" w:hAnsiTheme="majorHAnsi" w:cstheme="majorHAnsi"/>
              </w:rPr>
              <w:br/>
              <w:t>Implement Guided Reading</w:t>
            </w:r>
            <w:r w:rsidRPr="00330531">
              <w:rPr>
                <w:rFonts w:asciiTheme="majorHAnsi" w:hAnsiTheme="majorHAnsi" w:cstheme="majorHAnsi"/>
              </w:rPr>
              <w:br/>
              <w:t>Scaffolding for Access</w:t>
            </w:r>
            <w:r w:rsidRPr="00330531">
              <w:rPr>
                <w:rFonts w:asciiTheme="majorHAnsi" w:hAnsiTheme="majorHAnsi" w:cstheme="majorHAnsi"/>
              </w:rPr>
              <w:br/>
              <w:t>Text First Planning</w:t>
            </w:r>
            <w:r w:rsidRPr="00330531">
              <w:rPr>
                <w:rFonts w:asciiTheme="majorHAnsi" w:hAnsiTheme="majorHAnsi" w:cstheme="majorHAnsi"/>
              </w:rPr>
              <w:br/>
              <w:t>Objectives/SLOs/Learning Targets</w:t>
            </w:r>
            <w:r w:rsidRPr="00330531">
              <w:rPr>
                <w:rFonts w:asciiTheme="majorHAnsi" w:hAnsiTheme="majorHAnsi" w:cstheme="majorHAnsi"/>
              </w:rPr>
              <w:br/>
              <w:t>Provide ongoing coaching and progress monitoring to ensure evidence-based strategies are used in instructional planning and facilitation of student learning</w:t>
            </w:r>
            <w:r w:rsidRPr="00330531">
              <w:rPr>
                <w:rFonts w:asciiTheme="majorHAnsi" w:hAnsiTheme="majorHAnsi" w:cstheme="majorHAnsi"/>
              </w:rPr>
              <w:br/>
              <w:t>Planning</w:t>
            </w:r>
          </w:p>
        </w:tc>
      </w:tr>
      <w:tr w:rsidR="00892E45" w14:paraId="56F3840E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BD10D1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Assessment &amp; Assessment Systems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3ADAB8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High-quality assessment content, platform, and/or systems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5B8E9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Intentionally Assess Student Learning</w:t>
            </w:r>
            <w:r w:rsidRPr="00330531">
              <w:rPr>
                <w:rFonts w:asciiTheme="majorHAnsi" w:hAnsiTheme="majorHAnsi" w:cstheme="majorHAnsi"/>
              </w:rPr>
              <w:br/>
              <w:t>Assessment Expectations</w:t>
            </w:r>
            <w:r w:rsidRPr="00330531">
              <w:rPr>
                <w:rFonts w:asciiTheme="majorHAnsi" w:hAnsiTheme="majorHAnsi" w:cstheme="majorHAnsi"/>
              </w:rPr>
              <w:br/>
              <w:t>Build Assessment Systems</w:t>
            </w:r>
            <w:r w:rsidRPr="00330531">
              <w:rPr>
                <w:rFonts w:asciiTheme="majorHAnsi" w:hAnsiTheme="majorHAnsi" w:cstheme="majorHAnsi"/>
              </w:rPr>
              <w:br/>
              <w:t>Common Assessments</w:t>
            </w:r>
            <w:r w:rsidRPr="00330531">
              <w:rPr>
                <w:rFonts w:asciiTheme="majorHAnsi" w:hAnsiTheme="majorHAnsi" w:cstheme="majorHAnsi"/>
              </w:rPr>
              <w:br/>
              <w:t>Common Rubrics + Calibration</w:t>
            </w:r>
            <w:r w:rsidRPr="00330531">
              <w:rPr>
                <w:rFonts w:asciiTheme="majorHAnsi" w:hAnsiTheme="majorHAnsi" w:cstheme="majorHAnsi"/>
              </w:rPr>
              <w:br/>
              <w:t>Culminating Tasks</w:t>
            </w:r>
            <w:r w:rsidRPr="00330531">
              <w:rPr>
                <w:rFonts w:asciiTheme="majorHAnsi" w:hAnsiTheme="majorHAnsi" w:cstheme="majorHAnsi"/>
              </w:rPr>
              <w:br/>
              <w:t>Formative Assessments/Exit Tickets/Etc.</w:t>
            </w:r>
            <w:r w:rsidRPr="00330531">
              <w:rPr>
                <w:rFonts w:asciiTheme="majorHAnsi" w:hAnsiTheme="majorHAnsi" w:cstheme="majorHAnsi"/>
              </w:rPr>
              <w:br/>
              <w:t>Interim Assessments</w:t>
            </w:r>
            <w:r w:rsidRPr="00330531">
              <w:rPr>
                <w:rFonts w:asciiTheme="majorHAnsi" w:hAnsiTheme="majorHAnsi" w:cstheme="majorHAnsi"/>
              </w:rPr>
              <w:br/>
              <w:t>Pre-assessments</w:t>
            </w:r>
          </w:p>
        </w:tc>
      </w:tr>
      <w:tr w:rsidR="00892E45" w14:paraId="1DDAB1A4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1DFCE1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 Analysis &amp; Reflection Practices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7B1DE1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Clear processes and practices for analyzing and reflecting on data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3DEF6A" w14:textId="5AEB9719" w:rsidR="005019AA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 Analysis Structures and Routines</w:t>
            </w:r>
            <w:r w:rsidRPr="00330531">
              <w:rPr>
                <w:rFonts w:asciiTheme="majorHAnsi" w:hAnsiTheme="majorHAnsi" w:cstheme="majorHAnsi"/>
              </w:rPr>
              <w:br/>
              <w:t>Exemplars</w:t>
            </w:r>
            <w:r w:rsidRPr="00330531">
              <w:rPr>
                <w:rFonts w:asciiTheme="majorHAnsi" w:hAnsiTheme="majorHAnsi" w:cstheme="majorHAnsi"/>
              </w:rPr>
              <w:br/>
              <w:t>Build teacher capacity to analyze student learning</w:t>
            </w:r>
            <w:r w:rsidRPr="00330531">
              <w:rPr>
                <w:rFonts w:asciiTheme="majorHAnsi" w:hAnsiTheme="majorHAnsi" w:cstheme="majorHAnsi"/>
              </w:rPr>
              <w:br/>
              <w:t>Collection of Data</w:t>
            </w:r>
            <w:r w:rsidR="00C52651">
              <w:rPr>
                <w:rFonts w:asciiTheme="majorHAnsi" w:hAnsiTheme="majorHAnsi" w:cstheme="majorHAnsi"/>
              </w:rPr>
              <w:t>/</w:t>
            </w:r>
            <w:r w:rsidR="005019AA" w:rsidRPr="00330531">
              <w:rPr>
                <w:rFonts w:asciiTheme="majorHAnsi" w:hAnsiTheme="majorHAnsi" w:cstheme="majorHAnsi"/>
              </w:rPr>
              <w:t>Multiple Sources of Data</w:t>
            </w:r>
            <w:r w:rsidR="005019AA" w:rsidRPr="00330531">
              <w:rPr>
                <w:rFonts w:asciiTheme="majorHAnsi" w:hAnsiTheme="majorHAnsi" w:cstheme="majorHAnsi"/>
              </w:rPr>
              <w:br/>
              <w:t>Data Conferences</w:t>
            </w:r>
            <w:r w:rsidR="005019AA" w:rsidRPr="00330531">
              <w:rPr>
                <w:rFonts w:asciiTheme="majorHAnsi" w:hAnsiTheme="majorHAnsi" w:cstheme="majorHAnsi"/>
              </w:rPr>
              <w:br/>
              <w:t>Establish Data Teams to Examine Data</w:t>
            </w:r>
          </w:p>
          <w:p w14:paraId="0AE008F3" w14:textId="77777777" w:rsidR="005019AA" w:rsidRDefault="005019AA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Select/Refine/Implement Data Analysis Protocol</w:t>
            </w:r>
            <w:r w:rsidRPr="00330531">
              <w:rPr>
                <w:rFonts w:asciiTheme="majorHAnsi" w:hAnsiTheme="majorHAnsi" w:cstheme="majorHAnsi"/>
              </w:rPr>
              <w:br/>
              <w:t>Running Records</w:t>
            </w:r>
            <w:r w:rsidRPr="00330531">
              <w:rPr>
                <w:rFonts w:asciiTheme="majorHAnsi" w:hAnsiTheme="majorHAnsi" w:cstheme="majorHAnsi"/>
              </w:rPr>
              <w:br/>
              <w:t>Monitor Impact of Data on Instruction</w:t>
            </w:r>
          </w:p>
          <w:p w14:paraId="723607EB" w14:textId="64AF2ABA" w:rsidR="00010DFD" w:rsidRPr="00330531" w:rsidRDefault="00C52651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Use Data to Inform PD Offerings</w:t>
            </w:r>
          </w:p>
        </w:tc>
      </w:tr>
      <w:tr w:rsidR="00892E45" w14:paraId="5EEAFA84" w14:textId="77777777" w:rsidTr="00892E45">
        <w:trPr>
          <w:trHeight w:val="570"/>
        </w:trPr>
        <w:tc>
          <w:tcPr>
            <w:tcW w:w="107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B8E33" w14:textId="3AC95615" w:rsidR="00892E45" w:rsidRPr="00330531" w:rsidRDefault="00892E45" w:rsidP="00892E45">
            <w:pPr>
              <w:jc w:val="center"/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Major Improvement Strategy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892E45" w14:paraId="7A382422" w14:textId="77777777" w:rsidTr="00892E45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2D83D6" w14:textId="2649DEB8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2755D9" w14:textId="542D996B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154D03" w14:textId="4BA23B99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s/Activities</w:t>
            </w:r>
          </w:p>
        </w:tc>
      </w:tr>
      <w:tr w:rsidR="00892E45" w14:paraId="11647C99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DB060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Data-Informed Instruction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C43DDF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Data analysis informs instructional practices and decision-making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67C8A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Use Data to Drive Instruction</w:t>
            </w:r>
            <w:r w:rsidRPr="00330531">
              <w:rPr>
                <w:rFonts w:asciiTheme="majorHAnsi" w:hAnsiTheme="majorHAnsi" w:cstheme="majorHAnsi"/>
              </w:rPr>
              <w:br/>
              <w:t>Analyze Student Work</w:t>
            </w:r>
            <w:r w:rsidRPr="00330531">
              <w:rPr>
                <w:rFonts w:asciiTheme="majorHAnsi" w:hAnsiTheme="majorHAnsi" w:cstheme="majorHAnsi"/>
              </w:rPr>
              <w:br/>
              <w:t>Homogeneous Groupings</w:t>
            </w:r>
            <w:r w:rsidRPr="00330531">
              <w:rPr>
                <w:rFonts w:asciiTheme="majorHAnsi" w:hAnsiTheme="majorHAnsi" w:cstheme="majorHAnsi"/>
              </w:rPr>
              <w:br/>
              <w:t>Set Individual Learning Targets/Goals</w:t>
            </w:r>
            <w:r w:rsidRPr="00330531">
              <w:rPr>
                <w:rFonts w:asciiTheme="majorHAnsi" w:hAnsiTheme="majorHAnsi" w:cstheme="majorHAnsi"/>
              </w:rPr>
              <w:br/>
              <w:t>Diagnose student learning needs to drive all instructional decisions and evaluate their effectiveness in meeting the needs of prioritized students.</w:t>
            </w:r>
            <w:r w:rsidRPr="00330531">
              <w:rPr>
                <w:rFonts w:asciiTheme="majorHAnsi" w:hAnsiTheme="majorHAnsi" w:cstheme="majorHAnsi"/>
              </w:rPr>
              <w:br/>
              <w:t>Special Education</w:t>
            </w:r>
            <w:r w:rsidRPr="00330531">
              <w:rPr>
                <w:rFonts w:asciiTheme="majorHAnsi" w:hAnsiTheme="majorHAnsi" w:cstheme="majorHAnsi"/>
              </w:rPr>
              <w:br/>
              <w:t>Use fluid, rapid assessment and adjustment of instructional grouping and delivery to meet all student learning needs</w:t>
            </w:r>
            <w:r w:rsidRPr="00330531">
              <w:rPr>
                <w:rFonts w:asciiTheme="majorHAnsi" w:hAnsiTheme="majorHAnsi" w:cstheme="majorHAnsi"/>
              </w:rPr>
              <w:br/>
              <w:t>Backward Planning and Instructional Planning as DDI</w:t>
            </w:r>
            <w:r w:rsidRPr="00330531">
              <w:rPr>
                <w:rFonts w:asciiTheme="majorHAnsi" w:hAnsiTheme="majorHAnsi" w:cstheme="majorHAnsi"/>
              </w:rPr>
              <w:br/>
              <w:t>Anchor/Essential/Priority Standards</w:t>
            </w:r>
            <w:r w:rsidRPr="00330531">
              <w:rPr>
                <w:rFonts w:asciiTheme="majorHAnsi" w:hAnsiTheme="majorHAnsi" w:cstheme="majorHAnsi"/>
              </w:rPr>
              <w:br/>
              <w:t>Specific Focus Groups of Students</w:t>
            </w:r>
          </w:p>
        </w:tc>
      </w:tr>
      <w:tr w:rsidR="00892E45" w14:paraId="0A93D0DC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0CB17A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Targeted Student Academic Supports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1827E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Systems that provide additional support to identified students beyond universal instruction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F7E833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Implement or Refine an Intervention or Small Groups Program</w:t>
            </w:r>
            <w:r w:rsidRPr="00330531">
              <w:rPr>
                <w:rFonts w:asciiTheme="majorHAnsi" w:hAnsiTheme="majorHAnsi" w:cstheme="majorHAnsi"/>
              </w:rPr>
              <w:br/>
              <w:t>Implement Layered Continuum of Supports (MTSS)</w:t>
            </w:r>
            <w:r w:rsidRPr="00330531">
              <w:rPr>
                <w:rFonts w:asciiTheme="majorHAnsi" w:hAnsiTheme="majorHAnsi" w:cstheme="majorHAnsi"/>
              </w:rPr>
              <w:br/>
              <w:t>Academic Interventions</w:t>
            </w:r>
            <w:r w:rsidRPr="00330531">
              <w:rPr>
                <w:rFonts w:asciiTheme="majorHAnsi" w:hAnsiTheme="majorHAnsi" w:cstheme="majorHAnsi"/>
              </w:rPr>
              <w:br/>
              <w:t>Based on identified needs, incorporate effective student supports and instructional or behavioral interventions</w:t>
            </w:r>
          </w:p>
        </w:tc>
      </w:tr>
      <w:tr w:rsidR="00892E45" w14:paraId="227EDB1A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C043B6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Equitable Instructional Practices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F29B5F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Systems and practices that provide support to students from historically underserved populations.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F67D3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Response to Intervention (RtI) Implementation</w:t>
            </w:r>
            <w:r w:rsidRPr="00330531">
              <w:rPr>
                <w:rFonts w:asciiTheme="majorHAnsi" w:hAnsiTheme="majorHAnsi" w:cstheme="majorHAnsi"/>
              </w:rPr>
              <w:br/>
              <w:t>Sheltered Instruction</w:t>
            </w:r>
            <w:r w:rsidRPr="00330531">
              <w:rPr>
                <w:rFonts w:asciiTheme="majorHAnsi" w:hAnsiTheme="majorHAnsi" w:cstheme="majorHAnsi"/>
              </w:rPr>
              <w:br/>
              <w:t>Articulate Vision and Need</w:t>
            </w:r>
            <w:r w:rsidRPr="00330531">
              <w:rPr>
                <w:rFonts w:asciiTheme="majorHAnsi" w:hAnsiTheme="majorHAnsi" w:cstheme="majorHAnsi"/>
              </w:rPr>
              <w:br/>
              <w:t>Ensure High Quality Instructional Program(s)</w:t>
            </w:r>
            <w:r w:rsidRPr="00330531">
              <w:rPr>
                <w:rFonts w:asciiTheme="majorHAnsi" w:hAnsiTheme="majorHAnsi" w:cstheme="majorHAnsi"/>
              </w:rPr>
              <w:br/>
              <w:t>Explicit Language Instruction</w:t>
            </w:r>
            <w:r w:rsidRPr="00330531">
              <w:rPr>
                <w:rFonts w:asciiTheme="majorHAnsi" w:hAnsiTheme="majorHAnsi" w:cstheme="majorHAnsi"/>
              </w:rPr>
              <w:br/>
              <w:t>Transitional Bilingual Programs</w:t>
            </w:r>
            <w:r w:rsidRPr="00330531">
              <w:rPr>
                <w:rFonts w:asciiTheme="majorHAnsi" w:hAnsiTheme="majorHAnsi" w:cstheme="majorHAnsi"/>
              </w:rPr>
              <w:br/>
              <w:t>Leverage Structures and Systems to Focus on English Learners</w:t>
            </w:r>
            <w:r w:rsidRPr="00330531">
              <w:rPr>
                <w:rFonts w:asciiTheme="majorHAnsi" w:hAnsiTheme="majorHAnsi" w:cstheme="majorHAnsi"/>
              </w:rPr>
              <w:br/>
              <w:t>Push-in Supports</w:t>
            </w:r>
            <w:r w:rsidRPr="00330531">
              <w:rPr>
                <w:rFonts w:asciiTheme="majorHAnsi" w:hAnsiTheme="majorHAnsi" w:cstheme="majorHAnsi"/>
              </w:rPr>
              <w:br/>
              <w:t>Support an Inclusive and Culturally Responsive School Environment</w:t>
            </w:r>
            <w:r w:rsidRPr="00330531">
              <w:rPr>
                <w:rFonts w:asciiTheme="majorHAnsi" w:hAnsiTheme="majorHAnsi" w:cstheme="majorHAnsi"/>
              </w:rPr>
              <w:br/>
              <w:t>General Education ELL Support Strategies</w:t>
            </w:r>
          </w:p>
        </w:tc>
      </w:tr>
      <w:tr w:rsidR="00892E45" w14:paraId="6FD8611B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A838ED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School or District Climate and Culture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9CDD0E" w14:textId="4343CFE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Building a collaborative climate supportive of, and supported by students, families, and the local community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A0E9C7" w14:textId="5FB1407C" w:rsidR="00892E45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Collective Community and Responsibility</w:t>
            </w:r>
            <w:r w:rsidRPr="00330531">
              <w:rPr>
                <w:rFonts w:asciiTheme="majorHAnsi" w:hAnsiTheme="majorHAnsi" w:cstheme="majorHAnsi"/>
              </w:rPr>
              <w:br/>
              <w:t>Culture of Positivity</w:t>
            </w:r>
            <w:r w:rsidRPr="00330531">
              <w:rPr>
                <w:rFonts w:asciiTheme="majorHAnsi" w:hAnsiTheme="majorHAnsi" w:cstheme="majorHAnsi"/>
              </w:rPr>
              <w:br/>
              <w:t>Growth Mindset Culture</w:t>
            </w:r>
            <w:r w:rsidRPr="00330531">
              <w:rPr>
                <w:rFonts w:asciiTheme="majorHAnsi" w:hAnsiTheme="majorHAnsi" w:cstheme="majorHAnsi"/>
              </w:rPr>
              <w:br/>
              <w:t>Improve Staff Culture</w:t>
            </w:r>
            <w:r w:rsidRPr="00330531">
              <w:rPr>
                <w:rFonts w:asciiTheme="majorHAnsi" w:hAnsiTheme="majorHAnsi" w:cstheme="majorHAnsi"/>
              </w:rPr>
              <w:br/>
              <w:t>Culturally Responsive Staff Culture</w:t>
            </w:r>
            <w:r w:rsidRPr="00330531">
              <w:rPr>
                <w:rFonts w:asciiTheme="majorHAnsi" w:hAnsiTheme="majorHAnsi" w:cstheme="majorHAnsi"/>
              </w:rPr>
              <w:br/>
              <w:t>Culture of Collaboration</w:t>
            </w:r>
            <w:r w:rsidRPr="00330531">
              <w:rPr>
                <w:rFonts w:asciiTheme="majorHAnsi" w:hAnsiTheme="majorHAnsi" w:cstheme="majorHAnsi"/>
              </w:rPr>
              <w:br/>
              <w:t>Open Lines of Communication</w:t>
            </w:r>
            <w:r w:rsidRPr="00330531">
              <w:rPr>
                <w:rFonts w:asciiTheme="majorHAnsi" w:hAnsiTheme="majorHAnsi" w:cstheme="majorHAnsi"/>
              </w:rPr>
              <w:br/>
              <w:t>Increase Student Self Advocacy</w:t>
            </w:r>
            <w:r w:rsidRPr="00330531">
              <w:rPr>
                <w:rFonts w:asciiTheme="majorHAnsi" w:hAnsiTheme="majorHAnsi" w:cstheme="majorHAnsi"/>
              </w:rPr>
              <w:br/>
              <w:t>No Excuses and College Preparation</w:t>
            </w:r>
            <w:r w:rsidRPr="00330531">
              <w:rPr>
                <w:rFonts w:asciiTheme="majorHAnsi" w:hAnsiTheme="majorHAnsi" w:cstheme="majorHAnsi"/>
              </w:rPr>
              <w:br/>
              <w:t>School Wide Culture Elements (e.g., morning meetings, values, character strengths)</w:t>
            </w:r>
            <w:r w:rsidRPr="00330531">
              <w:rPr>
                <w:rFonts w:asciiTheme="majorHAnsi" w:hAnsiTheme="majorHAnsi" w:cstheme="majorHAnsi"/>
              </w:rPr>
              <w:br/>
              <w:t>Strong Learning Culture</w:t>
            </w:r>
            <w:r w:rsidRPr="00330531">
              <w:rPr>
                <w:rFonts w:asciiTheme="majorHAnsi" w:hAnsiTheme="majorHAnsi" w:cstheme="majorHAnsi"/>
              </w:rPr>
              <w:br/>
              <w:t>4 Pillars for Student Success</w:t>
            </w:r>
            <w:r w:rsidRPr="00330531">
              <w:rPr>
                <w:rFonts w:asciiTheme="majorHAnsi" w:hAnsiTheme="majorHAnsi" w:cstheme="majorHAnsi"/>
              </w:rPr>
              <w:br/>
              <w:t>Culture of Academic Success, Post Secondary/Workforce Readiness</w:t>
            </w:r>
          </w:p>
          <w:p w14:paraId="2DC86370" w14:textId="77777777" w:rsidR="00C52651" w:rsidRDefault="00C52651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IB Learner Profile</w:t>
            </w:r>
            <w:r w:rsidRPr="00330531">
              <w:rPr>
                <w:rFonts w:asciiTheme="majorHAnsi" w:hAnsiTheme="majorHAnsi" w:cstheme="majorHAnsi"/>
              </w:rPr>
              <w:br/>
              <w:t>Time Culture</w:t>
            </w:r>
            <w:r w:rsidRPr="00330531">
              <w:rPr>
                <w:rFonts w:asciiTheme="majorHAnsi" w:hAnsiTheme="majorHAnsi" w:cstheme="majorHAnsi"/>
              </w:rPr>
              <w:br/>
              <w:t>Refine/Build Behavior Systems, Classroom Culture</w:t>
            </w:r>
            <w:r w:rsidRPr="00330531">
              <w:rPr>
                <w:rFonts w:asciiTheme="majorHAnsi" w:hAnsiTheme="majorHAnsi" w:cstheme="majorHAnsi"/>
              </w:rPr>
              <w:br/>
              <w:t>Conscious Discipline</w:t>
            </w:r>
          </w:p>
          <w:p w14:paraId="42C9501B" w14:textId="77777777" w:rsidR="00C52651" w:rsidRDefault="00C52651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Equity Work, Teacher Biases</w:t>
            </w:r>
          </w:p>
          <w:p w14:paraId="1BD9066E" w14:textId="3057DECC" w:rsidR="00C52651" w:rsidRPr="00330531" w:rsidRDefault="00C52651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Ensure the mission and vision are clearly communicated to all stakeholders</w:t>
            </w:r>
            <w:r w:rsidRPr="00330531">
              <w:rPr>
                <w:rFonts w:asciiTheme="majorHAnsi" w:hAnsiTheme="majorHAnsi" w:cstheme="majorHAnsi"/>
              </w:rPr>
              <w:br/>
              <w:t>Model high expectations (of self and others), embed them in everyday practice and language, and reinforce them through shared accountability</w:t>
            </w:r>
          </w:p>
        </w:tc>
      </w:tr>
      <w:tr w:rsidR="00892E45" w14:paraId="34093FCD" w14:textId="77777777" w:rsidTr="00892E45">
        <w:trPr>
          <w:trHeight w:val="570"/>
        </w:trPr>
        <w:tc>
          <w:tcPr>
            <w:tcW w:w="107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EC430" w14:textId="13884857" w:rsidR="00892E45" w:rsidRPr="00330531" w:rsidRDefault="00892E45" w:rsidP="00892E45">
            <w:pPr>
              <w:jc w:val="center"/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Major Improvement Strategy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892E45" w14:paraId="2D65B954" w14:textId="77777777" w:rsidTr="00892E45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2B9E95" w14:textId="6E4BE7C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6FB862" w14:textId="7107A3A4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0163FE" w14:textId="0A820DAE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s/Activities</w:t>
            </w:r>
          </w:p>
        </w:tc>
      </w:tr>
      <w:tr w:rsidR="00892E45" w14:paraId="16A04A1C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123D05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Stakeholder Input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BDE87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Equitable solicitation and incorporation of family and other stakeholder input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54C897" w14:textId="0E44EE92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Acknowledge and respond to constructive feedback, suggestions, and criticism in a way that is timely, consistent and predictable.</w:t>
            </w:r>
            <w:r w:rsidRPr="00330531">
              <w:rPr>
                <w:rFonts w:asciiTheme="majorHAnsi" w:hAnsiTheme="majorHAnsi" w:cstheme="majorHAnsi"/>
              </w:rPr>
              <w:br/>
              <w:t>Regularly gather, disaggregate, and analyze collective perceptions held by stakeholders</w:t>
            </w:r>
            <w:r w:rsidRPr="00330531">
              <w:rPr>
                <w:rFonts w:asciiTheme="majorHAnsi" w:hAnsiTheme="majorHAnsi" w:cstheme="majorHAnsi"/>
              </w:rPr>
              <w:br/>
              <w:t>Family and Parent focused Surveys and Solicitation</w:t>
            </w:r>
            <w:r w:rsidRPr="00330531">
              <w:rPr>
                <w:rFonts w:asciiTheme="majorHAnsi" w:hAnsiTheme="majorHAnsi" w:cstheme="majorHAnsi"/>
              </w:rPr>
              <w:br/>
              <w:t>Staff and School Focused Surveys and Solicitation</w:t>
            </w:r>
            <w:r w:rsidRPr="00330531">
              <w:rPr>
                <w:rFonts w:asciiTheme="majorHAnsi" w:hAnsiTheme="majorHAnsi" w:cstheme="majorHAnsi"/>
              </w:rPr>
              <w:br/>
              <w:t>Utilize multiple methods to communicate and solicit feedback and data from all stakeholders, including historically under-served populations, to discuss, explore, and reflect on student learning.</w:t>
            </w:r>
            <w:r w:rsidRPr="00330531">
              <w:rPr>
                <w:rFonts w:asciiTheme="majorHAnsi" w:hAnsiTheme="majorHAnsi" w:cstheme="majorHAnsi"/>
              </w:rPr>
              <w:br/>
              <w:t>Provide explicit expectations about responsibilities, behaviors, and available supports for each role in improving systems and student performance</w:t>
            </w:r>
            <w:r w:rsidRPr="00330531">
              <w:rPr>
                <w:rFonts w:asciiTheme="majorHAnsi" w:hAnsiTheme="majorHAnsi" w:cstheme="majorHAnsi"/>
              </w:rPr>
              <w:br/>
              <w:t>Create Partnerships to Support Family and Community Involvement</w:t>
            </w:r>
            <w:r w:rsidRPr="00330531">
              <w:rPr>
                <w:rFonts w:asciiTheme="majorHAnsi" w:hAnsiTheme="majorHAnsi" w:cstheme="majorHAnsi"/>
              </w:rPr>
              <w:br/>
              <w:t>Build Trusting Relationships</w:t>
            </w:r>
            <w:r w:rsidRPr="00330531">
              <w:rPr>
                <w:rFonts w:asciiTheme="majorHAnsi" w:hAnsiTheme="majorHAnsi" w:cstheme="majorHAnsi"/>
              </w:rPr>
              <w:br/>
              <w:t>Parent Volunteer Program</w:t>
            </w:r>
            <w:r w:rsidRPr="00330531">
              <w:rPr>
                <w:rFonts w:asciiTheme="majorHAnsi" w:hAnsiTheme="majorHAnsi" w:cstheme="majorHAnsi"/>
              </w:rPr>
              <w:br/>
              <w:t>Safe and Positive Environment</w:t>
            </w:r>
            <w:r w:rsidRPr="00330531">
              <w:rPr>
                <w:rFonts w:asciiTheme="majorHAnsi" w:hAnsiTheme="majorHAnsi" w:cstheme="majorHAnsi"/>
              </w:rPr>
              <w:br/>
              <w:t>Understanding Students Backgrounds</w:t>
            </w:r>
            <w:r w:rsidRPr="00330531">
              <w:rPr>
                <w:rFonts w:asciiTheme="majorHAnsi" w:hAnsiTheme="majorHAnsi" w:cstheme="majorHAnsi"/>
              </w:rPr>
              <w:br/>
              <w:t>Create an Inclusive Culture</w:t>
            </w:r>
            <w:r w:rsidRPr="00330531">
              <w:rPr>
                <w:rFonts w:asciiTheme="majorHAnsi" w:hAnsiTheme="majorHAnsi" w:cstheme="majorHAnsi"/>
              </w:rPr>
              <w:br/>
              <w:t>Family Literacy Program (English Language classes for adults)</w:t>
            </w:r>
            <w:r w:rsidRPr="00330531">
              <w:rPr>
                <w:rFonts w:asciiTheme="majorHAnsi" w:hAnsiTheme="majorHAnsi" w:cstheme="majorHAnsi"/>
              </w:rPr>
              <w:br/>
              <w:t>P</w:t>
            </w:r>
            <w:r w:rsidR="00010DFD">
              <w:rPr>
                <w:rFonts w:asciiTheme="majorHAnsi" w:hAnsiTheme="majorHAnsi" w:cstheme="majorHAnsi"/>
              </w:rPr>
              <w:t xml:space="preserve">arent </w:t>
            </w:r>
            <w:r w:rsidRPr="00330531">
              <w:rPr>
                <w:rFonts w:asciiTheme="majorHAnsi" w:hAnsiTheme="majorHAnsi" w:cstheme="majorHAnsi"/>
              </w:rPr>
              <w:t>T</w:t>
            </w:r>
            <w:r w:rsidR="00010DFD">
              <w:rPr>
                <w:rFonts w:asciiTheme="majorHAnsi" w:hAnsiTheme="majorHAnsi" w:cstheme="majorHAnsi"/>
              </w:rPr>
              <w:t xml:space="preserve">eacher </w:t>
            </w:r>
            <w:r w:rsidRPr="00330531">
              <w:rPr>
                <w:rFonts w:asciiTheme="majorHAnsi" w:hAnsiTheme="majorHAnsi" w:cstheme="majorHAnsi"/>
              </w:rPr>
              <w:t>O</w:t>
            </w:r>
            <w:r w:rsidR="00010DFD">
              <w:rPr>
                <w:rFonts w:asciiTheme="majorHAnsi" w:hAnsiTheme="majorHAnsi" w:cstheme="majorHAnsi"/>
              </w:rPr>
              <w:t>rganization (PTO)</w:t>
            </w:r>
            <w:r w:rsidRPr="00330531">
              <w:rPr>
                <w:rFonts w:asciiTheme="majorHAnsi" w:hAnsiTheme="majorHAnsi" w:cstheme="majorHAnsi"/>
              </w:rPr>
              <w:br/>
              <w:t>Parent Outreach Events (Coffee with the Principal, etc.)</w:t>
            </w:r>
            <w:r w:rsidRPr="00330531">
              <w:rPr>
                <w:rFonts w:asciiTheme="majorHAnsi" w:hAnsiTheme="majorHAnsi" w:cstheme="majorHAnsi"/>
              </w:rPr>
              <w:br/>
              <w:t>Dedicate Necessary Resources</w:t>
            </w:r>
            <w:r w:rsidRPr="00330531">
              <w:rPr>
                <w:rFonts w:asciiTheme="majorHAnsi" w:hAnsiTheme="majorHAnsi" w:cstheme="majorHAnsi"/>
              </w:rPr>
              <w:br/>
              <w:t>Design Capacity Building Opportunities</w:t>
            </w:r>
          </w:p>
        </w:tc>
      </w:tr>
      <w:tr w:rsidR="00892E45" w14:paraId="080D1451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47D463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Family and Community Engagement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ABA6FE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Including families in the setting of student educational goals and celebration of progress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22DA0" w14:textId="12D78C1D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Celebrate successes collaboratively</w:t>
            </w:r>
            <w:r w:rsidRPr="00330531">
              <w:rPr>
                <w:rFonts w:asciiTheme="majorHAnsi" w:hAnsiTheme="majorHAnsi" w:cstheme="majorHAnsi"/>
              </w:rPr>
              <w:br/>
              <w:t>Partner with families using relevant two-way communication to engage meaningfully in their child’s learning, progress, interests, well-being, and long-term goals and to maintain consistent support for all students</w:t>
            </w:r>
            <w:r w:rsidRPr="00330531">
              <w:rPr>
                <w:rFonts w:asciiTheme="majorHAnsi" w:hAnsiTheme="majorHAnsi" w:cstheme="majorHAnsi"/>
              </w:rPr>
              <w:br/>
              <w:t>Provide all students with equitable opportunities to connect their learning in school with their strengths, interests, aspirations, and post-secondary goals</w:t>
            </w:r>
          </w:p>
        </w:tc>
      </w:tr>
      <w:tr w:rsidR="00892E45" w14:paraId="3DD89CF3" w14:textId="77777777" w:rsidTr="00ED31A3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D11BF3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Social Emotional Learning Supports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2A1FC8" w14:textId="77777777" w:rsidR="00892E45" w:rsidRPr="00330531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Supports for student wellbeing and behavior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F4D5D1" w14:textId="77777777" w:rsidR="00892E45" w:rsidRDefault="00892E45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Develop a Common Understanding of Trauma and Trauma-Informed Practices</w:t>
            </w:r>
            <w:r w:rsidRPr="00330531">
              <w:rPr>
                <w:rFonts w:asciiTheme="majorHAnsi" w:hAnsiTheme="majorHAnsi" w:cstheme="majorHAnsi"/>
              </w:rPr>
              <w:br/>
              <w:t>Establish Systems and Structures to Sustain Trauma-Informed Practices</w:t>
            </w:r>
            <w:r w:rsidRPr="00330531">
              <w:rPr>
                <w:rFonts w:asciiTheme="majorHAnsi" w:hAnsiTheme="majorHAnsi" w:cstheme="majorHAnsi"/>
              </w:rPr>
              <w:br/>
              <w:t>General Behavior Support to Students</w:t>
            </w:r>
            <w:r w:rsidRPr="00330531">
              <w:rPr>
                <w:rFonts w:asciiTheme="majorHAnsi" w:hAnsiTheme="majorHAnsi" w:cstheme="majorHAnsi"/>
              </w:rPr>
              <w:br/>
              <w:t>Plan to Implement Trauma-Informed Practices</w:t>
            </w:r>
            <w:r w:rsidRPr="00330531">
              <w:rPr>
                <w:rFonts w:asciiTheme="majorHAnsi" w:hAnsiTheme="majorHAnsi" w:cstheme="majorHAnsi"/>
              </w:rPr>
              <w:br/>
              <w:t>Social Emotional Learning</w:t>
            </w:r>
            <w:r w:rsidRPr="00330531">
              <w:rPr>
                <w:rFonts w:asciiTheme="majorHAnsi" w:hAnsiTheme="majorHAnsi" w:cstheme="majorHAnsi"/>
              </w:rPr>
              <w:br/>
              <w:t>Create Infrastructure to Collect and Analyze Data</w:t>
            </w:r>
            <w:r w:rsidRPr="00330531">
              <w:rPr>
                <w:rFonts w:asciiTheme="majorHAnsi" w:hAnsiTheme="majorHAnsi" w:cstheme="majorHAnsi"/>
              </w:rPr>
              <w:br/>
              <w:t>Attendance Team Roles and Responsibilities</w:t>
            </w:r>
            <w:r w:rsidRPr="00330531">
              <w:rPr>
                <w:rFonts w:asciiTheme="majorHAnsi" w:hAnsiTheme="majorHAnsi" w:cstheme="majorHAnsi"/>
              </w:rPr>
              <w:br/>
              <w:t>Develop and Implement Tiered Strategies</w:t>
            </w:r>
            <w:r w:rsidRPr="00330531">
              <w:rPr>
                <w:rFonts w:asciiTheme="majorHAnsi" w:hAnsiTheme="majorHAnsi" w:cstheme="majorHAnsi"/>
              </w:rPr>
              <w:br/>
              <w:t>Attendance Contracts</w:t>
            </w:r>
            <w:r w:rsidRPr="00330531">
              <w:rPr>
                <w:rFonts w:asciiTheme="majorHAnsi" w:hAnsiTheme="majorHAnsi" w:cstheme="majorHAnsi"/>
              </w:rPr>
              <w:br/>
              <w:t>Analyze Behavior Data</w:t>
            </w:r>
            <w:r w:rsidRPr="00330531">
              <w:rPr>
                <w:rFonts w:asciiTheme="majorHAnsi" w:hAnsiTheme="majorHAnsi" w:cstheme="majorHAnsi"/>
              </w:rPr>
              <w:br/>
              <w:t>Create Teams</w:t>
            </w:r>
            <w:r w:rsidRPr="00330531">
              <w:rPr>
                <w:rFonts w:asciiTheme="majorHAnsi" w:hAnsiTheme="majorHAnsi" w:cstheme="majorHAnsi"/>
              </w:rPr>
              <w:br/>
              <w:t xml:space="preserve">Plan </w:t>
            </w:r>
            <w:proofErr w:type="gramStart"/>
            <w:r w:rsidRPr="00330531">
              <w:rPr>
                <w:rFonts w:asciiTheme="majorHAnsi" w:hAnsiTheme="majorHAnsi" w:cstheme="majorHAnsi"/>
              </w:rPr>
              <w:t>For</w:t>
            </w:r>
            <w:proofErr w:type="gramEnd"/>
            <w:r w:rsidRPr="00330531">
              <w:rPr>
                <w:rFonts w:asciiTheme="majorHAnsi" w:hAnsiTheme="majorHAnsi" w:cstheme="majorHAnsi"/>
              </w:rPr>
              <w:t xml:space="preserve"> and Begin Implementation</w:t>
            </w:r>
          </w:p>
          <w:p w14:paraId="0D155FEE" w14:textId="77777777" w:rsidR="00010DFD" w:rsidRDefault="00010DFD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PBIS or Other Behavior Curriculum</w:t>
            </w:r>
            <w:r w:rsidRPr="00330531">
              <w:rPr>
                <w:rFonts w:asciiTheme="majorHAnsi" w:hAnsiTheme="majorHAnsi" w:cstheme="majorHAnsi"/>
              </w:rPr>
              <w:br/>
              <w:t>Capturing Kids Hearts</w:t>
            </w:r>
            <w:r w:rsidRPr="00330531">
              <w:rPr>
                <w:rFonts w:asciiTheme="majorHAnsi" w:hAnsiTheme="majorHAnsi" w:cstheme="majorHAnsi"/>
              </w:rPr>
              <w:br/>
              <w:t>Leader in Me</w:t>
            </w:r>
            <w:r w:rsidRPr="00330531">
              <w:rPr>
                <w:rFonts w:asciiTheme="majorHAnsi" w:hAnsiTheme="majorHAnsi" w:cstheme="majorHAnsi"/>
              </w:rPr>
              <w:br/>
              <w:t>Build Independent Learners</w:t>
            </w:r>
            <w:r w:rsidRPr="00330531">
              <w:rPr>
                <w:rFonts w:asciiTheme="majorHAnsi" w:hAnsiTheme="majorHAnsi" w:cstheme="majorHAnsi"/>
              </w:rPr>
              <w:br/>
              <w:t>RAOK Curriculum</w:t>
            </w:r>
          </w:p>
          <w:p w14:paraId="0899D958" w14:textId="77777777" w:rsidR="00010DFD" w:rsidRDefault="00010DFD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Random Acts of Kindness Curriculum</w:t>
            </w:r>
            <w:r w:rsidRPr="00330531">
              <w:rPr>
                <w:rFonts w:asciiTheme="majorHAnsi" w:hAnsiTheme="majorHAnsi" w:cstheme="majorHAnsi"/>
              </w:rPr>
              <w:br/>
              <w:t>Second Step Curriculum</w:t>
            </w:r>
          </w:p>
          <w:p w14:paraId="301201B7" w14:textId="0014FDC1" w:rsidR="00010DFD" w:rsidRPr="00330531" w:rsidRDefault="00010DFD" w:rsidP="00892E45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Parent and Community Involvement</w:t>
            </w:r>
          </w:p>
        </w:tc>
      </w:tr>
      <w:tr w:rsidR="00ED31A3" w14:paraId="10F01A32" w14:textId="77777777" w:rsidTr="00ED31A3">
        <w:trPr>
          <w:trHeight w:val="570"/>
        </w:trPr>
        <w:tc>
          <w:tcPr>
            <w:tcW w:w="107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C5AFA5" w14:textId="1A6D889F" w:rsidR="00ED31A3" w:rsidRPr="00330531" w:rsidRDefault="00ED31A3" w:rsidP="00ED31A3">
            <w:pPr>
              <w:jc w:val="center"/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Major Improvement Strategy Categories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ED31A3" w14:paraId="13221C32" w14:textId="77777777" w:rsidTr="00ED31A3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4511C3" w14:textId="771EEC03" w:rsidR="00ED31A3" w:rsidRPr="00330531" w:rsidRDefault="00ED31A3" w:rsidP="00ED31A3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C7205C" w14:textId="78512E64" w:rsidR="00ED31A3" w:rsidRPr="00330531" w:rsidRDefault="00ED31A3" w:rsidP="00ED31A3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313DF2" w14:textId="5D6DA38B" w:rsidR="00ED31A3" w:rsidRPr="00330531" w:rsidRDefault="00ED31A3" w:rsidP="00ED31A3">
            <w:pPr>
              <w:rPr>
                <w:rFonts w:asciiTheme="majorHAnsi" w:hAnsiTheme="majorHAnsi" w:cstheme="majorHAnsi"/>
              </w:rPr>
            </w:pPr>
            <w:r w:rsidRPr="00A84C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s/Activities</w:t>
            </w:r>
          </w:p>
        </w:tc>
      </w:tr>
      <w:tr w:rsidR="00ED31A3" w14:paraId="09F5830C" w14:textId="77777777" w:rsidTr="00D36454">
        <w:trPr>
          <w:trHeight w:val="57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1617B3" w14:textId="77777777" w:rsidR="00ED31A3" w:rsidRDefault="00ED31A3" w:rsidP="00ED31A3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Social Emotional Learning Supports</w:t>
            </w:r>
          </w:p>
          <w:p w14:paraId="6FA96A5F" w14:textId="77777777" w:rsidR="00ED31A3" w:rsidRDefault="00ED31A3" w:rsidP="00ED31A3">
            <w:pPr>
              <w:rPr>
                <w:rFonts w:asciiTheme="majorHAnsi" w:hAnsiTheme="majorHAnsi" w:cstheme="majorHAnsi"/>
              </w:rPr>
            </w:pPr>
          </w:p>
          <w:p w14:paraId="3ABF7BCC" w14:textId="0F3827FB" w:rsidR="00ED31A3" w:rsidRPr="00330531" w:rsidRDefault="00ED31A3" w:rsidP="00ED31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(continued)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FD218A" w14:textId="218ED442" w:rsidR="00ED31A3" w:rsidRPr="00330531" w:rsidRDefault="00ED31A3" w:rsidP="00ED31A3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Supports for student wellbeing and behavior</w:t>
            </w:r>
          </w:p>
        </w:tc>
        <w:tc>
          <w:tcPr>
            <w:tcW w:w="7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A292" w14:textId="79D7D240" w:rsidR="00ED31A3" w:rsidRPr="00330531" w:rsidRDefault="00ED31A3" w:rsidP="00ED31A3">
            <w:pPr>
              <w:rPr>
                <w:rFonts w:asciiTheme="majorHAnsi" w:hAnsiTheme="majorHAnsi" w:cstheme="majorHAnsi"/>
              </w:rPr>
            </w:pPr>
            <w:r w:rsidRPr="00330531">
              <w:rPr>
                <w:rFonts w:asciiTheme="majorHAnsi" w:hAnsiTheme="majorHAnsi" w:cstheme="majorHAnsi"/>
              </w:rPr>
              <w:t>Restorative Practices</w:t>
            </w:r>
            <w:r w:rsidRPr="00330531">
              <w:rPr>
                <w:rFonts w:asciiTheme="majorHAnsi" w:hAnsiTheme="majorHAnsi" w:cstheme="majorHAnsi"/>
              </w:rPr>
              <w:br/>
              <w:t>Monitor Implementation of School Wide Behavior/Culture Systems</w:t>
            </w:r>
            <w:r w:rsidRPr="00330531">
              <w:rPr>
                <w:rFonts w:asciiTheme="majorHAnsi" w:hAnsiTheme="majorHAnsi" w:cstheme="majorHAnsi"/>
              </w:rPr>
              <w:br/>
              <w:t>School Wide Behavior Expectations</w:t>
            </w:r>
          </w:p>
        </w:tc>
      </w:tr>
    </w:tbl>
    <w:p w14:paraId="746998CE" w14:textId="77777777" w:rsidR="00116E09" w:rsidRDefault="00116E09">
      <w:pPr>
        <w:ind w:left="720"/>
        <w:rPr>
          <w:sz w:val="24"/>
          <w:szCs w:val="24"/>
        </w:rPr>
      </w:pPr>
    </w:p>
    <w:p w14:paraId="121807E8" w14:textId="0A11D9F0" w:rsidR="00116E09" w:rsidRDefault="00116E09">
      <w:pPr>
        <w:ind w:left="720"/>
        <w:rPr>
          <w:sz w:val="24"/>
          <w:szCs w:val="24"/>
        </w:rPr>
      </w:pPr>
    </w:p>
    <w:p w14:paraId="576F36A4" w14:textId="77777777" w:rsidR="00330531" w:rsidRDefault="00330531"/>
    <w:p w14:paraId="4A5B25B3" w14:textId="60901DEC" w:rsidR="00116E09" w:rsidRDefault="003305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C9F152" wp14:editId="5DAC6125">
                <wp:simplePos x="0" y="0"/>
                <wp:positionH relativeFrom="page">
                  <wp:posOffset>7034</wp:posOffset>
                </wp:positionH>
                <wp:positionV relativeFrom="paragraph">
                  <wp:posOffset>6218653</wp:posOffset>
                </wp:positionV>
                <wp:extent cx="7800975" cy="911323"/>
                <wp:effectExtent l="0" t="0" r="9525" b="317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911323"/>
                        </a:xfrm>
                        <a:prstGeom prst="rect">
                          <a:avLst/>
                        </a:prstGeom>
                        <a:solidFill>
                          <a:srgbClr val="6EC4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31A52B" w14:textId="77777777" w:rsidR="00116E09" w:rsidRDefault="00ED31A3">
                            <w:pPr>
                              <w:spacing w:before="40" w:after="120" w:line="258" w:lineRule="auto"/>
                              <w:ind w:right="360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WHERE CAN I LEARN MORE? </w:t>
                            </w:r>
                          </w:p>
                          <w:p w14:paraId="319A5244" w14:textId="77777777" w:rsidR="00116E09" w:rsidRDefault="00ED31A3">
                            <w:pPr>
                              <w:spacing w:after="160" w:line="258" w:lineRule="auto"/>
                              <w:ind w:right="36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2C67"/>
                              </w:rPr>
                              <w:t>For additional support, email uiphelp@cde.state.co.us.</w:t>
                            </w:r>
                          </w:p>
                          <w:p w14:paraId="0852C6E9" w14:textId="77777777" w:rsidR="00116E09" w:rsidRDefault="00116E09">
                            <w:pPr>
                              <w:spacing w:after="160" w:line="258" w:lineRule="auto"/>
                              <w:ind w:right="3600"/>
                              <w:textDirection w:val="btLr"/>
                            </w:pPr>
                          </w:p>
                          <w:p w14:paraId="6AA581B4" w14:textId="77777777" w:rsidR="00116E09" w:rsidRDefault="00116E09">
                            <w:pPr>
                              <w:spacing w:after="160" w:line="258" w:lineRule="auto"/>
                              <w:ind w:right="3600"/>
                              <w:textDirection w:val="btLr"/>
                            </w:pPr>
                          </w:p>
                          <w:p w14:paraId="6A6DC4E8" w14:textId="77777777" w:rsidR="00116E09" w:rsidRDefault="00116E09">
                            <w:pPr>
                              <w:spacing w:after="160" w:line="258" w:lineRule="auto"/>
                              <w:ind w:right="36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9F152" id="_x0000_s1026" style="position:absolute;margin-left:.55pt;margin-top:489.65pt;width:614.25pt;height:71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" fillcolor="#6ec4e8" stroked="f">
                <v:textbox inset="2.53958mm,1.2694mm,2.53958mm,1.2694mm">
                  <w:txbxContent>
                    <w:p w14:paraId="5E31A52B" w14:textId="77777777" w:rsidR="00116E09" w:rsidRDefault="00ED31A3">
                      <w:pPr>
                        <w:spacing w:before="40" w:after="120" w:line="258" w:lineRule="auto"/>
                        <w:ind w:right="360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WHERE CAN I LEARN MORE? </w:t>
                      </w:r>
                    </w:p>
                    <w:p w14:paraId="319A5244" w14:textId="77777777" w:rsidR="00116E09" w:rsidRDefault="00ED31A3">
                      <w:pPr>
                        <w:spacing w:after="160" w:line="258" w:lineRule="auto"/>
                        <w:ind w:right="36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32C67"/>
                        </w:rPr>
                        <w:t>For additional support, email uiphelp@cde.state.co.us.</w:t>
                      </w:r>
                    </w:p>
                    <w:p w14:paraId="0852C6E9" w14:textId="77777777" w:rsidR="00116E09" w:rsidRDefault="00116E09">
                      <w:pPr>
                        <w:spacing w:after="160" w:line="258" w:lineRule="auto"/>
                        <w:ind w:right="3600"/>
                        <w:textDirection w:val="btLr"/>
                      </w:pPr>
                    </w:p>
                    <w:p w14:paraId="6AA581B4" w14:textId="77777777" w:rsidR="00116E09" w:rsidRDefault="00116E09">
                      <w:pPr>
                        <w:spacing w:after="160" w:line="258" w:lineRule="auto"/>
                        <w:ind w:right="3600"/>
                        <w:textDirection w:val="btLr"/>
                      </w:pPr>
                    </w:p>
                    <w:p w14:paraId="6A6DC4E8" w14:textId="77777777" w:rsidR="00116E09" w:rsidRDefault="00116E09">
                      <w:pPr>
                        <w:spacing w:after="160" w:line="258" w:lineRule="auto"/>
                        <w:ind w:right="3600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16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11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8306" w14:textId="77777777" w:rsidR="00C70B59" w:rsidRDefault="00ED31A3">
      <w:r>
        <w:separator/>
      </w:r>
    </w:p>
  </w:endnote>
  <w:endnote w:type="continuationSeparator" w:id="0">
    <w:p w14:paraId="121A4238" w14:textId="77777777" w:rsidR="00C70B59" w:rsidRDefault="00ED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75FF" w14:textId="77777777" w:rsidR="005C3F67" w:rsidRDefault="005C3F6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1DE7" w14:textId="77777777" w:rsidR="005C3F67" w:rsidRDefault="005C3F6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AB9" w14:textId="77777777" w:rsidR="005C3F67" w:rsidRDefault="005C3F6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E315" w14:textId="77777777" w:rsidR="00C70B59" w:rsidRDefault="00ED31A3">
      <w:r>
        <w:separator/>
      </w:r>
    </w:p>
  </w:footnote>
  <w:footnote w:type="continuationSeparator" w:id="0">
    <w:p w14:paraId="516330F5" w14:textId="77777777" w:rsidR="00C70B59" w:rsidRDefault="00ED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13DF" w14:textId="77777777" w:rsidR="005C3F67" w:rsidRDefault="005C3F6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34A1" w14:textId="77777777" w:rsidR="00116E09" w:rsidRDefault="00116E09">
    <w:pPr>
      <w:pBdr>
        <w:top w:val="nil"/>
        <w:left w:val="nil"/>
        <w:bottom w:val="nil"/>
        <w:right w:val="nil"/>
        <w:between w:val="nil"/>
      </w:pBdr>
      <w:ind w:right="3600"/>
      <w:rPr>
        <w:color w:val="000000"/>
        <w:sz w:val="22"/>
        <w:szCs w:val="22"/>
      </w:rPr>
    </w:pPr>
  </w:p>
  <w:p w14:paraId="25A4486E" w14:textId="743DCA82" w:rsidR="00116E09" w:rsidRDefault="00ED31A3">
    <w:pPr>
      <w:pBdr>
        <w:top w:val="nil"/>
        <w:left w:val="nil"/>
        <w:bottom w:val="nil"/>
        <w:right w:val="nil"/>
        <w:between w:val="nil"/>
      </w:pBdr>
      <w:ind w:right="3600"/>
      <w:rPr>
        <w:sz w:val="22"/>
        <w:szCs w:val="22"/>
      </w:rPr>
    </w:pPr>
    <w:r>
      <w:rPr>
        <w:sz w:val="22"/>
        <w:szCs w:val="22"/>
      </w:rPr>
      <w:t xml:space="preserve">UIP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1A48E6" wp14:editId="676B4A69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3F67">
      <w:rPr>
        <w:sz w:val="22"/>
        <w:szCs w:val="22"/>
      </w:rPr>
      <w:t>Template Area of Focus Dropdown Guidance</w:t>
    </w:r>
  </w:p>
  <w:p w14:paraId="07D6E479" w14:textId="77777777" w:rsidR="005C3F67" w:rsidRDefault="005C3F67">
    <w:pPr>
      <w:pBdr>
        <w:top w:val="nil"/>
        <w:left w:val="nil"/>
        <w:bottom w:val="nil"/>
        <w:right w:val="nil"/>
        <w:between w:val="nil"/>
      </w:pBdr>
      <w:ind w:right="3600"/>
      <w:rPr>
        <w:sz w:val="22"/>
        <w:szCs w:val="22"/>
      </w:rPr>
    </w:pPr>
  </w:p>
  <w:p w14:paraId="2A7B5DA8" w14:textId="77777777" w:rsidR="00116E09" w:rsidRDefault="00116E09">
    <w:pPr>
      <w:pBdr>
        <w:top w:val="nil"/>
        <w:left w:val="nil"/>
        <w:bottom w:val="nil"/>
        <w:right w:val="nil"/>
        <w:between w:val="nil"/>
      </w:pBdr>
      <w:ind w:right="3600"/>
      <w:rPr>
        <w:color w:val="000000"/>
        <w:sz w:val="22"/>
        <w:szCs w:val="22"/>
      </w:rPr>
    </w:pPr>
  </w:p>
  <w:p w14:paraId="59C4CAA0" w14:textId="77777777" w:rsidR="00116E09" w:rsidRDefault="00ED31A3">
    <w:pPr>
      <w:pBdr>
        <w:top w:val="nil"/>
        <w:left w:val="nil"/>
        <w:bottom w:val="nil"/>
        <w:right w:val="nil"/>
        <w:between w:val="nil"/>
      </w:pBdr>
      <w:ind w:right="3600"/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A129A74" wp14:editId="56BC14BA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899275" cy="2222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01125" y="3780000"/>
                        <a:ext cx="68897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899275" cy="2222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92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719D" w14:textId="77777777" w:rsidR="00116E09" w:rsidRDefault="00ED31A3">
    <w:pPr>
      <w:pBdr>
        <w:top w:val="nil"/>
        <w:left w:val="nil"/>
        <w:bottom w:val="nil"/>
        <w:right w:val="nil"/>
        <w:between w:val="nil"/>
      </w:pBdr>
      <w:ind w:right="3600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8741371" wp14:editId="681A90CB">
          <wp:simplePos x="0" y="0"/>
          <wp:positionH relativeFrom="column">
            <wp:posOffset>-469263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173DF"/>
    <w:multiLevelType w:val="multilevel"/>
    <w:tmpl w:val="F822E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851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09"/>
    <w:rsid w:val="00010DFD"/>
    <w:rsid w:val="000A169C"/>
    <w:rsid w:val="00116E09"/>
    <w:rsid w:val="00210482"/>
    <w:rsid w:val="00330531"/>
    <w:rsid w:val="00423337"/>
    <w:rsid w:val="00442AC0"/>
    <w:rsid w:val="005019AA"/>
    <w:rsid w:val="005B0F68"/>
    <w:rsid w:val="005C3F67"/>
    <w:rsid w:val="008379C4"/>
    <w:rsid w:val="00892E45"/>
    <w:rsid w:val="0095607B"/>
    <w:rsid w:val="009A29F7"/>
    <w:rsid w:val="00A84CAF"/>
    <w:rsid w:val="00B67CE3"/>
    <w:rsid w:val="00C52651"/>
    <w:rsid w:val="00C70B59"/>
    <w:rsid w:val="00D36454"/>
    <w:rsid w:val="00E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1DB5"/>
  <w15:docId w15:val="{37530018-DD40-454E-9982-AD5C0797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after="0"/>
      <w:ind w:right="1440"/>
    </w:pPr>
    <w:rPr>
      <w:rFonts w:ascii="Museo Slab 500" w:eastAsia="Times New Roman" w:hAnsi="Museo Slab 500" w:cs="Times New Roman"/>
      <w:color w:val="FFFFFF"/>
      <w:sz w:val="48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keepLines/>
      <w:spacing w:before="40" w:after="840"/>
      <w:outlineLvl w:val="1"/>
    </w:pPr>
    <w:rPr>
      <w:rFonts w:eastAsia="Times New Roman" w:cs="Times New Roman"/>
      <w:b/>
      <w:color w:val="FFFFFF"/>
      <w:sz w:val="32"/>
      <w:szCs w:val="26"/>
    </w:rPr>
  </w:style>
  <w:style w:type="paragraph" w:styleId="Heading3">
    <w:name w:val="heading 3"/>
    <w:basedOn w:val="Normal1"/>
    <w:next w:val="Normal1"/>
    <w:uiPriority w:val="9"/>
    <w:unhideWhenUsed/>
    <w:qFormat/>
    <w:pPr>
      <w:keepNext/>
      <w:keepLines/>
      <w:spacing w:before="40" w:after="120"/>
      <w:outlineLvl w:val="2"/>
    </w:pPr>
    <w:rPr>
      <w:rFonts w:eastAsia="Times New Roman" w:cs="Times New Roman"/>
      <w:b/>
      <w:color w:val="000000"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aliases w:val="Page01- body with right indent-black"/>
    <w:pPr>
      <w:suppressAutoHyphens/>
      <w:spacing w:after="160" w:line="259" w:lineRule="auto"/>
      <w:ind w:leftChars="-1" w:left="-1" w:right="3600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Header">
    <w:name w:val="header"/>
    <w:basedOn w:val="Normal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1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useo Slab 500" w:eastAsia="Times New Roman" w:hAnsi="Museo Slab 500" w:cs="Times New Roman"/>
      <w:color w:val="FFFFFF"/>
      <w:w w:val="100"/>
      <w:position w:val="-1"/>
      <w:sz w:val="4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Times New Roman" w:hAnsi="Calibri" w:cs="Times New Roman"/>
      <w:b/>
      <w:color w:val="FFFFFF"/>
      <w:w w:val="100"/>
      <w:position w:val="-1"/>
      <w:sz w:val="32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" w:eastAsia="Times New Roman" w:hAnsi="Calibri" w:cs="Times New Roman"/>
      <w:b/>
      <w:color w:val="000000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Page01-Side-bar-navy">
    <w:name w:val="Page 01-Side-bar-navy"/>
    <w:basedOn w:val="Normal1"/>
    <w:pPr>
      <w:ind w:right="0"/>
    </w:pPr>
    <w:rPr>
      <w:color w:val="232C67"/>
      <w:sz w:val="20"/>
    </w:rPr>
  </w:style>
  <w:style w:type="paragraph" w:styleId="NormalWeb">
    <w:name w:val="Normal (Web)"/>
    <w:basedOn w:val="Normal1"/>
    <w:qFormat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01-Side-bar-navyChar">
    <w:name w:val="Page 01-Side-bar-navy Char"/>
    <w:rPr>
      <w:color w:val="232C67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Text">
    <w:name w:val="Text"/>
    <w:basedOn w:val="Normal1"/>
    <w:pPr>
      <w:ind w:right="0"/>
    </w:pPr>
  </w:style>
  <w:style w:type="character" w:customStyle="1" w:styleId="TextChar">
    <w:name w:val="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526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phelp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3Vf//fQmV8ZbFSsFX82pMDysWA==">AMUW2mXU3xU+ZXHR1ZyUZVZGl/hgdBPbEtx4cYacNZZm3orJsNDl0EDDq0WYhXJAJxaqgYkbCpsapiZ+BSQWXMa28pD+Z/P3y9a1fxOz0MWQirJmuc7tg7niaHtVr7inNP5+wN2AYC/TbBWJTbpwBJSis+pz5Hn3SQ==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Madorin, Acacia</dc:creator>
  <cp:lastModifiedBy>Rilett, Victoria</cp:lastModifiedBy>
  <cp:revision>9</cp:revision>
  <dcterms:created xsi:type="dcterms:W3CDTF">2023-04-25T17:47:00Z</dcterms:created>
  <dcterms:modified xsi:type="dcterms:W3CDTF">2023-04-27T17:17:00Z</dcterms:modified>
</cp:coreProperties>
</file>