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F1" w:rsidRDefault="002B62BE" w:rsidP="00FA0FF1">
      <w:pPr>
        <w:pStyle w:val="Title"/>
      </w:pPr>
      <w:r>
        <w:t>Setting Annual Targets for State Performance Indicator Areas</w:t>
      </w:r>
    </w:p>
    <w:p w:rsidR="002B62BE" w:rsidRDefault="002B62BE">
      <w:pPr>
        <w:rPr>
          <w:noProof/>
        </w:rPr>
      </w:pPr>
    </w:p>
    <w:p w:rsidR="00FA0FF1" w:rsidRDefault="00FA0FF1">
      <w:pPr>
        <w:rPr>
          <w:noProof/>
        </w:rPr>
      </w:pPr>
      <w:r w:rsidRPr="00FA0FF1">
        <w:rPr>
          <w:noProof/>
        </w:rPr>
        <w:drawing>
          <wp:inline distT="0" distB="0" distL="0" distR="0">
            <wp:extent cx="5943600" cy="2440940"/>
            <wp:effectExtent l="1905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3505200"/>
                      <a:chOff x="304800" y="1676400"/>
                      <a:chExt cx="8534400" cy="3505200"/>
                    </a:xfrm>
                  </a:grpSpPr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304800" y="1676400"/>
                        <a:ext cx="2514600" cy="14465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9pPr>
                        </a:lstStyle>
                        <a:p>
                          <a:pPr algn="ctr">
                            <a:spcBef>
                              <a:spcPts val="600"/>
                            </a:spcBef>
                            <a:spcAft>
                              <a:spcPts val="600"/>
                            </a:spcAft>
                            <a:defRPr/>
                          </a:pPr>
                          <a:r>
                            <a:rPr lang="en-US" sz="2200" dirty="0">
                              <a:latin typeface="Verdana" charset="0"/>
                            </a:rPr>
                            <a:t>Focus on a priority performance </a:t>
                          </a:r>
                          <a:r>
                            <a:rPr lang="en-US" sz="2200" dirty="0" smtClean="0">
                              <a:latin typeface="Verdana" charset="0"/>
                            </a:rPr>
                            <a:t>challenge</a:t>
                          </a:r>
                          <a:endParaRPr lang="en-US" sz="2000" dirty="0">
                            <a:solidFill>
                              <a:srgbClr val="000000"/>
                            </a:solidFill>
                            <a:latin typeface="Verdana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429000" y="1676400"/>
                        <a:ext cx="2438400" cy="120032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9pPr>
                        </a:lstStyle>
                        <a:p>
                          <a:pPr algn="ctr">
                            <a:spcBef>
                              <a:spcPts val="600"/>
                            </a:spcBef>
                            <a:spcAft>
                              <a:spcPts val="600"/>
                            </a:spcAft>
                            <a:defRPr/>
                          </a:pPr>
                          <a:r>
                            <a:rPr lang="en-US" sz="2400" dirty="0" smtClean="0">
                              <a:latin typeface="Verdana" charset="0"/>
                            </a:rPr>
                            <a:t>Review </a:t>
                          </a:r>
                          <a:r>
                            <a:rPr lang="en-US" sz="2400" dirty="0">
                              <a:latin typeface="Verdana" charset="0"/>
                            </a:rPr>
                            <a:t>state or local </a:t>
                          </a:r>
                          <a:r>
                            <a:rPr lang="en-US" sz="2400" dirty="0" smtClean="0">
                              <a:latin typeface="Verdana" charset="0"/>
                            </a:rPr>
                            <a:t>expectations</a:t>
                          </a:r>
                          <a:endParaRPr lang="en-US" sz="2400" dirty="0">
                            <a:latin typeface="Verdana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1905000" y="3962400"/>
                        <a:ext cx="2774731" cy="120032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9pPr>
                        </a:lstStyle>
                        <a:p>
                          <a:pPr>
                            <a:spcBef>
                              <a:spcPts val="600"/>
                            </a:spcBef>
                            <a:spcAft>
                              <a:spcPts val="600"/>
                            </a:spcAft>
                            <a:defRPr/>
                          </a:pPr>
                          <a:r>
                            <a:rPr lang="en-US" sz="2400" dirty="0">
                              <a:latin typeface="Verdana" charset="0"/>
                            </a:rPr>
                            <a:t>Determine progress needed in first two years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64524" name="Straight Arrow Connector 1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2819400" y="2460625"/>
                        <a:ext cx="609600" cy="1588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 type="triangle" w="med" len="med"/>
                      </a:ln>
                    </a:spPr>
                  </a:cxn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6324600" y="1676400"/>
                        <a:ext cx="2514600" cy="120032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9pPr>
                        </a:lstStyle>
                        <a:p>
                          <a:pPr algn="ctr">
                            <a:spcBef>
                              <a:spcPts val="600"/>
                            </a:spcBef>
                            <a:spcAft>
                              <a:spcPts val="600"/>
                            </a:spcAft>
                            <a:defRPr/>
                          </a:pPr>
                          <a:r>
                            <a:rPr lang="en-US" sz="2400" dirty="0" smtClean="0">
                              <a:latin typeface="Verdana" charset="0"/>
                            </a:rPr>
                            <a:t>Determine </a:t>
                          </a:r>
                          <a:r>
                            <a:rPr lang="en-US" sz="2400" dirty="0">
                              <a:latin typeface="Verdana" charset="0"/>
                            </a:rPr>
                            <a:t>timeframe (max 5 years)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5181600" y="3981271"/>
                        <a:ext cx="2438400" cy="1200329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rgbClr val="FFFFFF"/>
                              </a:solidFill>
                              <a:latin typeface="Verdana" pitchFamily="34" charset="0"/>
                              <a:ea typeface="ＭＳ Ｐゴシック" charset="-128"/>
                            </a:defRPr>
                          </a:lvl9pPr>
                        </a:lstStyle>
                        <a:p>
                          <a:pPr>
                            <a:spcBef>
                              <a:spcPts val="600"/>
                            </a:spcBef>
                            <a:spcAft>
                              <a:spcPts val="600"/>
                            </a:spcAft>
                            <a:defRPr/>
                          </a:pPr>
                          <a:r>
                            <a:rPr lang="en-US" sz="2400" dirty="0">
                              <a:latin typeface="Verdana" charset="0"/>
                            </a:rPr>
                            <a:t>Describe annual targets for two years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64531" name="Straight Arrow Connector 1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867400" y="2438400"/>
                        <a:ext cx="457200" cy="1588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 type="triangle" w="med" len="med"/>
                      </a:ln>
                    </a:spPr>
                  </a:cxnSp>
                  <a:cxnSp>
                    <a:nvCxnSpPr>
                      <a:cNvPr id="64532" name="Straight Arrow Connector 1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4648200" y="4648200"/>
                        <a:ext cx="520700" cy="317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C000"/>
                        </a:solidFill>
                        <a:round/>
                        <a:headEnd/>
                        <a:tailEnd type="triangle" w="med" len="med"/>
                      </a:ln>
                    </a:spPr>
                  </a:cxnSp>
                  <a:cxnSp>
                    <a:nvCxnSpPr>
                      <a:cNvPr id="64533" name="Curved Connector 25"/>
                      <a:cNvCxnSpPr>
                        <a:cxnSpLocks noChangeShapeType="1"/>
                      </a:cNvCxnSpPr>
                    </a:nvCxnSpPr>
                    <a:spPr bwMode="auto">
                      <a:xfrm rot="10800000" flipV="1">
                        <a:off x="1905000" y="2971799"/>
                        <a:ext cx="5486400" cy="1590675"/>
                      </a:xfrm>
                      <a:prstGeom prst="curvedConnector3">
                        <a:avLst>
                          <a:gd name="adj1" fmla="val 109333"/>
                        </a:avLst>
                      </a:prstGeom>
                      <a:noFill/>
                      <a:ln w="38100" algn="ctr">
                        <a:solidFill>
                          <a:srgbClr val="FFC000"/>
                        </a:solidFill>
                        <a:round/>
                        <a:headEnd/>
                        <a:tailEnd type="triangle" w="med" len="med"/>
                      </a:ln>
                    </a:spPr>
                  </a:cxnSp>
                </lc:lockedCanvas>
              </a:graphicData>
            </a:graphic>
          </wp:inline>
        </w:drawing>
      </w:r>
    </w:p>
    <w:p w:rsidR="002B62BE" w:rsidRDefault="005A68CB" w:rsidP="002B62BE">
      <w:pPr>
        <w:pStyle w:val="Heading1"/>
      </w:pPr>
      <w:r>
        <w:t xml:space="preserve">Review </w:t>
      </w:r>
      <w:r w:rsidR="002B62BE">
        <w:t>State Expectations</w:t>
      </w:r>
    </w:p>
    <w:p w:rsidR="002C6938" w:rsidRDefault="002B62BE" w:rsidP="00535E92">
      <w:r>
        <w:t xml:space="preserve">The state has identified minimum expectations for school performance for each state performance indicator and sub-indicator.  These expectations are </w:t>
      </w:r>
      <w:r w:rsidR="005A68CB">
        <w:t>provided</w:t>
      </w:r>
      <w:r>
        <w:t xml:space="preserve"> i</w:t>
      </w:r>
      <w:r w:rsidRPr="002B62BE">
        <w:t>n the School Performance Framework Reports (pgs 3-4)</w:t>
      </w:r>
      <w:r>
        <w:t>.</w:t>
      </w:r>
      <w:r w:rsidR="002C6938">
        <w:t xml:space="preserve"> </w:t>
      </w:r>
      <w:r>
        <w:t>State expectations are defined as t</w:t>
      </w:r>
      <w:r w:rsidRPr="002B62BE">
        <w:t xml:space="preserve">he </w:t>
      </w:r>
      <w:r w:rsidR="005A68CB">
        <w:t xml:space="preserve">minimum </w:t>
      </w:r>
      <w:r w:rsidRPr="002B62BE">
        <w:t xml:space="preserve">value for which a rating of “meets” would be assigned for the state metric </w:t>
      </w:r>
      <w:r w:rsidR="005A68CB">
        <w:t>included in the SPF reports for</w:t>
      </w:r>
      <w:r w:rsidRPr="002B62BE">
        <w:t xml:space="preserve"> each sub-indicator.</w:t>
      </w:r>
      <w:r w:rsidR="002C6938">
        <w:t xml:space="preserve"> They include:</w:t>
      </w:r>
    </w:p>
    <w:p w:rsidR="002C6938" w:rsidRDefault="002B62BE" w:rsidP="002C6938">
      <w:pPr>
        <w:pStyle w:val="ListParagraph"/>
        <w:numPr>
          <w:ilvl w:val="0"/>
          <w:numId w:val="1"/>
        </w:numPr>
        <w:spacing w:before="120"/>
      </w:pPr>
      <w:r w:rsidRPr="002C6938">
        <w:rPr>
          <w:b/>
          <w:i/>
        </w:rPr>
        <w:t>Academic Achievement</w:t>
      </w:r>
      <w:r w:rsidRPr="002C6938">
        <w:rPr>
          <w:i/>
        </w:rPr>
        <w:t>:</w:t>
      </w:r>
      <w:r w:rsidRPr="002B62BE">
        <w:t xml:space="preserve"> the 50th percentile of % proficient or advanced </w:t>
      </w:r>
      <w:r w:rsidR="005A68CB">
        <w:t xml:space="preserve">students </w:t>
      </w:r>
      <w:r w:rsidRPr="002B62BE">
        <w:t>for Colorado schools.</w:t>
      </w:r>
    </w:p>
    <w:p w:rsidR="002B62BE" w:rsidRPr="002B62BE" w:rsidRDefault="002B62BE" w:rsidP="002C6938">
      <w:pPr>
        <w:pStyle w:val="ListParagraph"/>
        <w:numPr>
          <w:ilvl w:val="0"/>
          <w:numId w:val="1"/>
        </w:numPr>
        <w:spacing w:before="240"/>
      </w:pPr>
      <w:r w:rsidRPr="002C6938">
        <w:rPr>
          <w:b/>
          <w:i/>
        </w:rPr>
        <w:t>Academic Growth and Academic Growth Gaps</w:t>
      </w:r>
      <w:r w:rsidRPr="002C6938">
        <w:rPr>
          <w:b/>
        </w:rPr>
        <w:t>:</w:t>
      </w:r>
      <w:r w:rsidRPr="002B62BE">
        <w:t xml:space="preserve"> a median growth percentile (MGP) of 55 if MGP is &lt; A</w:t>
      </w:r>
      <w:r w:rsidR="005A68CB">
        <w:t xml:space="preserve">dequate Median </w:t>
      </w:r>
      <w:r w:rsidRPr="002B62BE">
        <w:t>G</w:t>
      </w:r>
      <w:r w:rsidR="005A68CB">
        <w:t xml:space="preserve">rowth </w:t>
      </w:r>
      <w:r w:rsidRPr="002B62BE">
        <w:t>P</w:t>
      </w:r>
      <w:r w:rsidR="005A68CB">
        <w:t>ercentile</w:t>
      </w:r>
      <w:r w:rsidRPr="002B62BE">
        <w:t xml:space="preserve">, and 45 otherwise. </w:t>
      </w:r>
    </w:p>
    <w:p w:rsidR="002B62BE" w:rsidRDefault="002B62BE" w:rsidP="002C6938">
      <w:pPr>
        <w:pStyle w:val="ListParagraph"/>
        <w:numPr>
          <w:ilvl w:val="0"/>
          <w:numId w:val="1"/>
        </w:numPr>
        <w:spacing w:before="120"/>
      </w:pPr>
      <w:r w:rsidRPr="002C6938">
        <w:rPr>
          <w:b/>
          <w:i/>
        </w:rPr>
        <w:t>Postsecondary and Workforce Readiness</w:t>
      </w:r>
      <w:r w:rsidR="002C6938" w:rsidRPr="002C6938">
        <w:rPr>
          <w:b/>
        </w:rPr>
        <w:t>:</w:t>
      </w:r>
      <w:r w:rsidR="002C6938">
        <w:t xml:space="preserve"> </w:t>
      </w:r>
      <w:r w:rsidRPr="002B62BE">
        <w:t>Graduation rate at or above 80%, Drop-Out rate at or below the state average, and Colorado ACT Composite Score at or above the state average.</w:t>
      </w:r>
    </w:p>
    <w:p w:rsidR="005A68CB" w:rsidRDefault="005A68CB" w:rsidP="005A68CB"/>
    <w:p w:rsidR="005A68CB" w:rsidRDefault="005A68CB" w:rsidP="005A68CB">
      <w:r>
        <w:t>State expectations should be seen as a minimum for school performance.  Local districts and/or local school stakeholders may identify higher expectations for school performance in each of the state-defined indicator areas.</w:t>
      </w:r>
    </w:p>
    <w:p w:rsidR="00826227" w:rsidRDefault="00826227" w:rsidP="005A68CB"/>
    <w:p w:rsidR="002C6938" w:rsidRDefault="00826227" w:rsidP="002C6938">
      <w:r>
        <w:t xml:space="preserve">There is no state penalty for not making annual </w:t>
      </w:r>
      <w:r w:rsidR="00D40D67">
        <w:t xml:space="preserve">performance </w:t>
      </w:r>
      <w:r>
        <w:t>targets. The sanction occurs after five consecutive years of receiving a Priority Improvement or Turnaround Plan</w:t>
      </w:r>
      <w:r w:rsidR="002C6938">
        <w:t xml:space="preserve"> assignment</w:t>
      </w:r>
      <w:r>
        <w:t>, in which case the State Board of Education may take the actions outlined in the Educational Accountability Act of 2009 (SB-163).</w:t>
      </w:r>
    </w:p>
    <w:p w:rsidR="002C6938" w:rsidRDefault="002C6938" w:rsidP="002C6938">
      <w:pPr>
        <w:pStyle w:val="Heading1"/>
      </w:pPr>
      <w:r>
        <w:t>Setting Academic Achievement Targets</w:t>
      </w:r>
    </w:p>
    <w:p w:rsidR="002B62BE" w:rsidRDefault="002B62BE" w:rsidP="00FA0FF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</w:pPr>
      <w:r>
        <w:t xml:space="preserve">Determine the content area(s) of your academic achievement priority </w:t>
      </w:r>
      <w:r w:rsidR="00D40D67">
        <w:t>performance challenge</w:t>
      </w:r>
      <w:r>
        <w:t>(s).</w:t>
      </w:r>
    </w:p>
    <w:p w:rsidR="00726203" w:rsidRPr="002B62BE" w:rsidRDefault="005A68CB" w:rsidP="00FA0FF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</w:pPr>
      <w:r w:rsidRPr="002B62BE">
        <w:lastRenderedPageBreak/>
        <w:t>Consider the 50</w:t>
      </w:r>
      <w:r w:rsidRPr="002B62BE">
        <w:rPr>
          <w:vertAlign w:val="superscript"/>
        </w:rPr>
        <w:t>th</w:t>
      </w:r>
      <w:r w:rsidRPr="002B62BE">
        <w:t xml:space="preserve"> percentile of Colorado schools </w:t>
      </w:r>
      <w:r w:rsidR="00FA0FF1">
        <w:t>(for the 2009-10 school year)</w:t>
      </w:r>
      <w:r w:rsidRPr="002B62BE">
        <w:t>for % proficient or advanced for:</w:t>
      </w:r>
    </w:p>
    <w:p w:rsidR="00726203" w:rsidRPr="002B62BE" w:rsidRDefault="005A68CB" w:rsidP="002B62BE">
      <w:pPr>
        <w:pStyle w:val="ListParagraph"/>
        <w:numPr>
          <w:ilvl w:val="0"/>
          <w:numId w:val="3"/>
        </w:numPr>
        <w:spacing w:before="120"/>
        <w:ind w:left="1080"/>
      </w:pPr>
      <w:r w:rsidRPr="002B62BE">
        <w:t>Your school level (elem, middle, high)</w:t>
      </w:r>
    </w:p>
    <w:p w:rsidR="00726203" w:rsidRPr="002B62BE" w:rsidRDefault="005A68CB" w:rsidP="002B62BE">
      <w:pPr>
        <w:pStyle w:val="ListParagraph"/>
        <w:numPr>
          <w:ilvl w:val="0"/>
          <w:numId w:val="3"/>
        </w:numPr>
        <w:spacing w:before="120"/>
        <w:ind w:left="1080"/>
      </w:pPr>
      <w:r w:rsidRPr="002B62BE">
        <w:t xml:space="preserve">The content area(s) that is the focus of your priority </w:t>
      </w:r>
      <w:r w:rsidR="00D40D67">
        <w:t>performance challenge</w:t>
      </w:r>
      <w:r w:rsidRPr="002B62BE">
        <w:t>(s).</w:t>
      </w:r>
    </w:p>
    <w:p w:rsidR="00726203" w:rsidRPr="002B62BE" w:rsidRDefault="005A68CB" w:rsidP="00FA0FF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</w:pPr>
      <w:r>
        <w:t xml:space="preserve">Is the percent of students who score </w:t>
      </w:r>
      <w:r w:rsidR="002B62BE">
        <w:t>proficient or advanced</w:t>
      </w:r>
      <w:r>
        <w:t xml:space="preserve"> on CSAP in your school at </w:t>
      </w:r>
      <w:r w:rsidRPr="002B62BE">
        <w:t>or above the typical school in Colorado (50</w:t>
      </w:r>
      <w:r w:rsidRPr="002B62BE">
        <w:rPr>
          <w:vertAlign w:val="superscript"/>
        </w:rPr>
        <w:t>th</w:t>
      </w:r>
      <w:r w:rsidRPr="002B62BE">
        <w:t xml:space="preserve"> percentile value</w:t>
      </w:r>
      <w:r w:rsidR="00FA0FF1">
        <w:t xml:space="preserve"> for the 2009-’10 school year</w:t>
      </w:r>
      <w:r w:rsidRPr="002B62BE">
        <w:t>)?</w:t>
      </w:r>
    </w:p>
    <w:p w:rsidR="00FA0FF1" w:rsidRDefault="00FA0FF1" w:rsidP="00FA0FF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</w:pPr>
      <w:r>
        <w:t>If so, are you satisfied with your achievement level? Has the district set higher expectations than the state minimums?</w:t>
      </w:r>
      <w:r w:rsidR="00535E92">
        <w:t xml:space="preserve"> Write annual targets for the next two years based on local expectations.</w:t>
      </w:r>
    </w:p>
    <w:p w:rsidR="00FA0FF1" w:rsidRDefault="005A68CB" w:rsidP="00FA0FF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</w:pPr>
      <w:r w:rsidRPr="002B62BE">
        <w:t xml:space="preserve">If not, how long would it take for your school to meet that level? </w:t>
      </w:r>
    </w:p>
    <w:p w:rsidR="00726203" w:rsidRPr="002B62BE" w:rsidRDefault="005A68CB" w:rsidP="00FA0FF1">
      <w:pPr>
        <w:pStyle w:val="ListParagraph"/>
        <w:numPr>
          <w:ilvl w:val="0"/>
          <w:numId w:val="3"/>
        </w:numPr>
        <w:spacing w:before="120"/>
        <w:ind w:left="1080"/>
      </w:pPr>
      <w:r>
        <w:t>Determine the timeframe for your school for meeting minimum state expectations</w:t>
      </w:r>
      <w:r w:rsidR="000F6353">
        <w:t xml:space="preserve"> </w:t>
      </w:r>
      <w:r w:rsidR="000F6353" w:rsidRPr="002B62BE">
        <w:t>(at most</w:t>
      </w:r>
      <w:r w:rsidR="00826227">
        <w:t>,</w:t>
      </w:r>
      <w:r w:rsidR="000F6353" w:rsidRPr="002B62BE">
        <w:t xml:space="preserve"> 5 years)</w:t>
      </w:r>
      <w:r>
        <w:t>.</w:t>
      </w:r>
    </w:p>
    <w:p w:rsidR="002B62BE" w:rsidRDefault="005A68CB" w:rsidP="00FA0FF1">
      <w:pPr>
        <w:pStyle w:val="ListParagraph"/>
        <w:numPr>
          <w:ilvl w:val="0"/>
          <w:numId w:val="3"/>
        </w:numPr>
        <w:spacing w:before="120"/>
        <w:ind w:left="1080"/>
      </w:pPr>
      <w:r w:rsidRPr="002B62BE">
        <w:t>How much progress can you make in the next two years?</w:t>
      </w:r>
      <w:r>
        <w:t xml:space="preserve">  Write annual </w:t>
      </w:r>
      <w:r w:rsidR="00D40D67">
        <w:t xml:space="preserve">performance </w:t>
      </w:r>
      <w:r>
        <w:t>targets for the next two years based on this determination.</w:t>
      </w:r>
    </w:p>
    <w:p w:rsidR="002B62BE" w:rsidRDefault="002B62BE" w:rsidP="002B62BE">
      <w:pPr>
        <w:pStyle w:val="Heading1"/>
      </w:pPr>
      <w:r>
        <w:t>Setting Academic Growth and Growth Gap Targets</w:t>
      </w:r>
    </w:p>
    <w:p w:rsidR="002B62BE" w:rsidRDefault="005A68CB" w:rsidP="00535E92">
      <w:pPr>
        <w:numPr>
          <w:ilvl w:val="0"/>
          <w:numId w:val="14"/>
        </w:numPr>
        <w:spacing w:before="120"/>
      </w:pPr>
      <w:r w:rsidRPr="002B62BE">
        <w:t xml:space="preserve">On which </w:t>
      </w:r>
      <w:proofErr w:type="gramStart"/>
      <w:r w:rsidRPr="002B62BE">
        <w:t>students</w:t>
      </w:r>
      <w:proofErr w:type="gramEnd"/>
      <w:r w:rsidRPr="002B62BE">
        <w:t xml:space="preserve"> do</w:t>
      </w:r>
      <w:r w:rsidR="002B62BE">
        <w:t>/</w:t>
      </w:r>
      <w:proofErr w:type="spellStart"/>
      <w:r w:rsidR="002B62BE">
        <w:t>es</w:t>
      </w:r>
      <w:proofErr w:type="spellEnd"/>
      <w:r w:rsidRPr="002B62BE">
        <w:t xml:space="preserve"> your priority </w:t>
      </w:r>
      <w:r w:rsidR="00D40D67">
        <w:t>performance challenge</w:t>
      </w:r>
      <w:r w:rsidRPr="002B62BE">
        <w:t>(s) focus?</w:t>
      </w:r>
    </w:p>
    <w:p w:rsidR="00726203" w:rsidRPr="002B62BE" w:rsidRDefault="005A68CB" w:rsidP="00535E92">
      <w:pPr>
        <w:numPr>
          <w:ilvl w:val="0"/>
          <w:numId w:val="14"/>
        </w:numPr>
        <w:spacing w:before="120"/>
      </w:pPr>
      <w:r w:rsidRPr="002B62BE">
        <w:t>For that group of students, is your school’s median growth percentile &lt; median adequate growth percentile?</w:t>
      </w:r>
    </w:p>
    <w:p w:rsidR="00726203" w:rsidRPr="002B62BE" w:rsidRDefault="005A68CB" w:rsidP="002C6938">
      <w:pPr>
        <w:pStyle w:val="ListParagraph"/>
        <w:numPr>
          <w:ilvl w:val="0"/>
          <w:numId w:val="13"/>
        </w:numPr>
        <w:spacing w:before="240"/>
      </w:pPr>
      <w:r w:rsidRPr="002B62BE">
        <w:t>If yes, set a median growth percentile target of not less than 55.</w:t>
      </w:r>
    </w:p>
    <w:p w:rsidR="002B62BE" w:rsidRDefault="005A68CB" w:rsidP="002C6938">
      <w:pPr>
        <w:pStyle w:val="ListParagraph"/>
        <w:numPr>
          <w:ilvl w:val="0"/>
          <w:numId w:val="13"/>
        </w:numPr>
        <w:spacing w:before="240"/>
      </w:pPr>
      <w:r w:rsidRPr="002B62BE">
        <w:t xml:space="preserve">If no, set a median growth percentile target for not less than 50. </w:t>
      </w:r>
    </w:p>
    <w:p w:rsidR="000F6353" w:rsidRDefault="005A68CB" w:rsidP="002C6938">
      <w:pPr>
        <w:spacing w:before="240"/>
      </w:pPr>
      <w:r w:rsidRPr="002B62BE">
        <w:t>Targets can be set for any state metric</w:t>
      </w:r>
      <w:r w:rsidR="000F6353">
        <w:t xml:space="preserve"> (e.g., % catching up, % keeping up)</w:t>
      </w:r>
      <w:r w:rsidRPr="002B62BE">
        <w:t>, but should include median growth percentile.</w:t>
      </w:r>
    </w:p>
    <w:p w:rsidR="000F6353" w:rsidRDefault="000F6353" w:rsidP="000F6353">
      <w:pPr>
        <w:pStyle w:val="Heading1"/>
      </w:pPr>
      <w:r>
        <w:t>Setting Postsecondary and Workforce Readiness Targets</w:t>
      </w:r>
    </w:p>
    <w:p w:rsidR="00535E92" w:rsidRDefault="000F6353" w:rsidP="00535E92">
      <w:pPr>
        <w:numPr>
          <w:ilvl w:val="0"/>
          <w:numId w:val="15"/>
        </w:numPr>
        <w:spacing w:before="120"/>
      </w:pPr>
      <w:r w:rsidRPr="002B62BE">
        <w:t xml:space="preserve">On which </w:t>
      </w:r>
      <w:proofErr w:type="gramStart"/>
      <w:r w:rsidRPr="002B62BE">
        <w:t>students</w:t>
      </w:r>
      <w:proofErr w:type="gramEnd"/>
      <w:r w:rsidRPr="002B62BE">
        <w:t xml:space="preserve"> do</w:t>
      </w:r>
      <w:r>
        <w:t>/</w:t>
      </w:r>
      <w:proofErr w:type="spellStart"/>
      <w:r>
        <w:t>es</w:t>
      </w:r>
      <w:proofErr w:type="spellEnd"/>
      <w:r w:rsidRPr="002B62BE">
        <w:t xml:space="preserve"> your priority </w:t>
      </w:r>
      <w:r w:rsidR="00D40D67">
        <w:t>performance challenge</w:t>
      </w:r>
      <w:r w:rsidRPr="002B62BE">
        <w:t>(s) focus?</w:t>
      </w:r>
    </w:p>
    <w:p w:rsidR="002C6938" w:rsidRDefault="000F6353" w:rsidP="00535E92">
      <w:pPr>
        <w:numPr>
          <w:ilvl w:val="0"/>
          <w:numId w:val="15"/>
        </w:numPr>
        <w:spacing w:before="120"/>
      </w:pPr>
      <w:r w:rsidRPr="002B62BE">
        <w:t>For that group of students, is your school’s</w:t>
      </w:r>
      <w:r>
        <w:t>:</w:t>
      </w:r>
    </w:p>
    <w:p w:rsidR="002C6938" w:rsidRDefault="002C6938" w:rsidP="00535E92">
      <w:pPr>
        <w:pStyle w:val="ListParagraph"/>
        <w:numPr>
          <w:ilvl w:val="0"/>
          <w:numId w:val="11"/>
        </w:numPr>
      </w:pPr>
      <w:proofErr w:type="gramStart"/>
      <w:r>
        <w:t>graduation</w:t>
      </w:r>
      <w:proofErr w:type="gramEnd"/>
      <w:r>
        <w:t xml:space="preserve"> rate at/above 80%?</w:t>
      </w:r>
    </w:p>
    <w:p w:rsidR="002C6938" w:rsidRDefault="002C6938" w:rsidP="002C6938">
      <w:pPr>
        <w:pStyle w:val="ListParagraph"/>
        <w:numPr>
          <w:ilvl w:val="0"/>
          <w:numId w:val="9"/>
        </w:numPr>
        <w:spacing w:before="240"/>
      </w:pPr>
      <w:proofErr w:type="gramStart"/>
      <w:r>
        <w:t>dropout</w:t>
      </w:r>
      <w:proofErr w:type="gramEnd"/>
      <w:r>
        <w:t xml:space="preserve"> rate at/below the state average</w:t>
      </w:r>
      <w:r w:rsidR="00FA0FF1">
        <w:t xml:space="preserve"> (for the 2009-‘10 school year)</w:t>
      </w:r>
      <w:r>
        <w:t>?</w:t>
      </w:r>
    </w:p>
    <w:p w:rsidR="002C6938" w:rsidRDefault="002C6938" w:rsidP="00535E92">
      <w:pPr>
        <w:pStyle w:val="ListParagraph"/>
        <w:numPr>
          <w:ilvl w:val="0"/>
          <w:numId w:val="9"/>
        </w:numPr>
        <w:spacing w:before="240"/>
      </w:pPr>
      <w:proofErr w:type="gramStart"/>
      <w:r>
        <w:t>average</w:t>
      </w:r>
      <w:proofErr w:type="gramEnd"/>
      <w:r>
        <w:t xml:space="preserve"> ACT composite score at/above the state average</w:t>
      </w:r>
      <w:r w:rsidR="00FA0FF1">
        <w:t xml:space="preserve"> (for the 2009-‘10 school year)</w:t>
      </w:r>
      <w:r>
        <w:t>?</w:t>
      </w:r>
    </w:p>
    <w:p w:rsidR="00FA0FF1" w:rsidRDefault="000F6353" w:rsidP="00535E92">
      <w:pPr>
        <w:numPr>
          <w:ilvl w:val="0"/>
          <w:numId w:val="15"/>
        </w:numPr>
        <w:spacing w:before="120"/>
      </w:pPr>
      <w:r w:rsidRPr="002B62BE">
        <w:t>If no</w:t>
      </w:r>
      <w:r>
        <w:t xml:space="preserve"> to any of the above, how long would it take for your school to meet that level? (at most 5 years) </w:t>
      </w:r>
    </w:p>
    <w:p w:rsidR="00FA0FF1" w:rsidRDefault="000F6353" w:rsidP="00FA0FF1">
      <w:pPr>
        <w:pStyle w:val="ListParagraph"/>
        <w:numPr>
          <w:ilvl w:val="0"/>
          <w:numId w:val="11"/>
        </w:numPr>
        <w:spacing w:before="240"/>
      </w:pPr>
      <w:r>
        <w:t>Determine the timeframe for your school for meeting minimum state expectations (at most, 5 years).</w:t>
      </w:r>
    </w:p>
    <w:p w:rsidR="00826227" w:rsidRDefault="00826227" w:rsidP="00FA0FF1">
      <w:pPr>
        <w:pStyle w:val="ListParagraph"/>
        <w:numPr>
          <w:ilvl w:val="0"/>
          <w:numId w:val="11"/>
        </w:numPr>
        <w:spacing w:before="240"/>
      </w:pPr>
      <w:r>
        <w:t xml:space="preserve">How much progress can you make in the next two years? Write annual </w:t>
      </w:r>
      <w:r w:rsidR="00D40D67">
        <w:t xml:space="preserve">performance </w:t>
      </w:r>
      <w:r>
        <w:t>targets for the next two years based on this determination.</w:t>
      </w:r>
    </w:p>
    <w:p w:rsidR="00535E92" w:rsidRDefault="00535E92" w:rsidP="00535E92">
      <w:pPr>
        <w:numPr>
          <w:ilvl w:val="0"/>
          <w:numId w:val="15"/>
        </w:numPr>
        <w:spacing w:before="120"/>
      </w:pPr>
      <w:r w:rsidRPr="002B62BE">
        <w:t xml:space="preserve">If </w:t>
      </w:r>
      <w:r>
        <w:t>yes, are you satisfied with your post-secondary and workforce readiness?  Has your district set more ambitious expectations?  Write annual performance targets for the next two years based on local expectations?</w:t>
      </w:r>
    </w:p>
    <w:sectPr w:rsidR="00535E92" w:rsidSect="00B8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174"/>
    <w:multiLevelType w:val="hybridMultilevel"/>
    <w:tmpl w:val="E2E06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534A88"/>
    <w:multiLevelType w:val="hybridMultilevel"/>
    <w:tmpl w:val="235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627FF"/>
    <w:multiLevelType w:val="hybridMultilevel"/>
    <w:tmpl w:val="16CE2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4724D"/>
    <w:multiLevelType w:val="hybridMultilevel"/>
    <w:tmpl w:val="98B03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D52C0"/>
    <w:multiLevelType w:val="hybridMultilevel"/>
    <w:tmpl w:val="C03EB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B416C"/>
    <w:multiLevelType w:val="hybridMultilevel"/>
    <w:tmpl w:val="0CA80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FC635D"/>
    <w:multiLevelType w:val="hybridMultilevel"/>
    <w:tmpl w:val="549668D0"/>
    <w:lvl w:ilvl="0" w:tplc="764CE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BA7942">
      <w:start w:val="144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C4E4F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AA45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8CF4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0083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9BC50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241E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8B24A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AE019E"/>
    <w:multiLevelType w:val="hybridMultilevel"/>
    <w:tmpl w:val="2272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70A63"/>
    <w:multiLevelType w:val="hybridMultilevel"/>
    <w:tmpl w:val="E2E06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D6308C"/>
    <w:multiLevelType w:val="hybridMultilevel"/>
    <w:tmpl w:val="549668D0"/>
    <w:lvl w:ilvl="0" w:tplc="764CE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BA7942">
      <w:start w:val="144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C4E4F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AA45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8CF4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70083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9BC50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241E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8B24A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CE57E85"/>
    <w:multiLevelType w:val="hybridMultilevel"/>
    <w:tmpl w:val="F3A6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A29FF"/>
    <w:multiLevelType w:val="hybridMultilevel"/>
    <w:tmpl w:val="3FCE1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F1005"/>
    <w:multiLevelType w:val="hybridMultilevel"/>
    <w:tmpl w:val="9194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F0774"/>
    <w:multiLevelType w:val="hybridMultilevel"/>
    <w:tmpl w:val="549668D0"/>
    <w:lvl w:ilvl="0" w:tplc="764CE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A7942">
      <w:start w:val="144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E4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45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CF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08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C5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41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24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96232"/>
    <w:multiLevelType w:val="hybridMultilevel"/>
    <w:tmpl w:val="B7CA63DC"/>
    <w:lvl w:ilvl="0" w:tplc="55E6E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AA77E">
      <w:start w:val="366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281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C6B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AF6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62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0DE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A30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04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62BE"/>
    <w:rsid w:val="000309A2"/>
    <w:rsid w:val="000F6353"/>
    <w:rsid w:val="001872A7"/>
    <w:rsid w:val="002B62BE"/>
    <w:rsid w:val="002C6938"/>
    <w:rsid w:val="003F28F5"/>
    <w:rsid w:val="00495C08"/>
    <w:rsid w:val="004A419A"/>
    <w:rsid w:val="004F1A0F"/>
    <w:rsid w:val="00535E92"/>
    <w:rsid w:val="005632CD"/>
    <w:rsid w:val="005A68CB"/>
    <w:rsid w:val="00726203"/>
    <w:rsid w:val="007C7A31"/>
    <w:rsid w:val="00822BBD"/>
    <w:rsid w:val="00826227"/>
    <w:rsid w:val="00847B23"/>
    <w:rsid w:val="00895D48"/>
    <w:rsid w:val="00971A53"/>
    <w:rsid w:val="009A6F21"/>
    <w:rsid w:val="009B2316"/>
    <w:rsid w:val="00A34130"/>
    <w:rsid w:val="00A90256"/>
    <w:rsid w:val="00AA2CA5"/>
    <w:rsid w:val="00B8148A"/>
    <w:rsid w:val="00B81903"/>
    <w:rsid w:val="00C90E78"/>
    <w:rsid w:val="00D40D67"/>
    <w:rsid w:val="00DD67D4"/>
    <w:rsid w:val="00F70C5B"/>
    <w:rsid w:val="00FA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938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7B23"/>
    <w:pPr>
      <w:keepNext/>
      <w:spacing w:before="240" w:after="60"/>
      <w:ind w:firstLine="72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35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938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47B23"/>
    <w:rPr>
      <w:rFonts w:ascii="Arial" w:hAnsi="Arial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2B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35E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6906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34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43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520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529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170">
          <w:marLeft w:val="80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482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1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45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69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7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2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1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1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671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282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1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O'Brian, Julie</cp:lastModifiedBy>
  <cp:revision>5</cp:revision>
  <dcterms:created xsi:type="dcterms:W3CDTF">2010-11-19T13:39:00Z</dcterms:created>
  <dcterms:modified xsi:type="dcterms:W3CDTF">2011-09-15T14:21:00Z</dcterms:modified>
</cp:coreProperties>
</file>