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Text Planning Guide for Comprehension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1445"/>
        <w:tblGridChange w:id="0">
          <w:tblGrid>
            <w:gridCol w:w="2760"/>
            <w:gridCol w:w="1144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Text Title: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is the purpose of using this particular text? What do you want the students to know and be able to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prior knowledge is necessary for students to be able to access the text?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is the text structured?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instruction or review is needed to address the text structure?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there patterns of organization within the text that need to be addressed?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there text features that should be addressed to support students?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How/when might graphic organizers support students' understanding of the organization of the text?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type of graphic organizer would best suit this purpose?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00" w:line="21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200" w:line="216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What sentences may be problematic or need to be addressed with students?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2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25"/>
              <w:gridCol w:w="4365"/>
              <w:gridCol w:w="6055"/>
              <w:tblGridChange w:id="0">
                <w:tblGrid>
                  <w:gridCol w:w="825"/>
                  <w:gridCol w:w="4365"/>
                  <w:gridCol w:w="605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Pg #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sentence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Cause of concern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vocabulary words are critical to the understan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ding of the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text?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Which words will be previewed? Which will be taught in-depth?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12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748.3333333333335"/>
              <w:gridCol w:w="3748.3333333333335"/>
              <w:gridCol w:w="3748.3333333333335"/>
              <w:tblGridChange w:id="0">
                <w:tblGrid>
                  <w:gridCol w:w="3748.3333333333335"/>
                  <w:gridCol w:w="3748.3333333333335"/>
                  <w:gridCol w:w="3748.333333333333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text-dependent questions will support understanding of the text at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multiple levels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after="0" w:afterAutospacing="0" w:before="20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General understanding question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Key detail questions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Vocabulary and text structure questions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Author’s purpose questions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Inferential questions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Opinion and intertextual questions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200" w:line="216" w:lineRule="auto"/>
              <w:ind w:left="720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Bloom’s Taxonomy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before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Remembering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after="0" w:before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Understanding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after="0" w:before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Applying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after="0" w:before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Analyzing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after="0" w:afterAutospacing="0" w:before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before="0" w:beforeAutospacing="0" w:line="216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Creating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10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30"/>
              <w:gridCol w:w="5280"/>
              <w:gridCol w:w="4830"/>
              <w:tblGridChange w:id="0">
                <w:tblGrid>
                  <w:gridCol w:w="930"/>
                  <w:gridCol w:w="5280"/>
                  <w:gridCol w:w="483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Pg #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Text-Dependent Question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Question type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00" w:line="216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How will you know if students were successful in developing a mental model?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200" w:line="216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types of formative assessment or written response will you use to gauge student learning?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                                          </w:t>
      <w:tab/>
      <w:tab/>
      <w:tab/>
      <w:t xml:space="preserve">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drawing>
        <wp:inline distB="114300" distT="114300" distL="114300" distR="114300">
          <wp:extent cx="1238250" cy="2286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286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  <w:rtl w:val="0"/>
      </w:rPr>
      <w:t xml:space="preserve"> 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Fonts w:ascii="Verdana" w:cs="Verdana" w:eastAsia="Verdana" w:hAnsi="Verdana"/>
        <w:sz w:val="16"/>
        <w:szCs w:val="16"/>
        <w:highlight w:val="white"/>
        <w:rtl w:val="0"/>
      </w:rPr>
      <w:t xml:space="preserve">Building a Strong Foundation: Developing Early Literacy Skills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