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E1" w:rsidRDefault="001B1377">
      <w:pPr>
        <w:spacing w:after="0" w:line="240" w:lineRule="auto"/>
        <w:jc w:val="center"/>
        <w:rPr>
          <w:rFonts w:ascii="Verdana" w:eastAsia="Verdana" w:hAnsi="Verdana" w:cs="Verdana"/>
          <w:b/>
          <w:sz w:val="20"/>
          <w:szCs w:val="20"/>
        </w:rPr>
      </w:pPr>
      <w:bookmarkStart w:id="0" w:name="_GoBack"/>
      <w:bookmarkEnd w:id="0"/>
      <w:r>
        <w:rPr>
          <w:rFonts w:ascii="Verdana" w:eastAsia="Verdana" w:hAnsi="Verdana" w:cs="Verdana"/>
          <w:b/>
          <w:sz w:val="20"/>
          <w:szCs w:val="20"/>
        </w:rPr>
        <w:t>Concurrent Enrollment Advisory Board Meeting</w:t>
      </w:r>
    </w:p>
    <w:p w:rsidR="008E08E1" w:rsidRDefault="001B1377">
      <w:pPr>
        <w:spacing w:after="0" w:line="240" w:lineRule="auto"/>
        <w:jc w:val="center"/>
        <w:rPr>
          <w:rFonts w:ascii="Verdana" w:eastAsia="Verdana" w:hAnsi="Verdana" w:cs="Verdana"/>
          <w:b/>
          <w:sz w:val="20"/>
          <w:szCs w:val="20"/>
        </w:rPr>
      </w:pPr>
      <w:r>
        <w:rPr>
          <w:rFonts w:ascii="Verdana" w:eastAsia="Verdana" w:hAnsi="Verdana" w:cs="Verdana"/>
          <w:b/>
          <w:sz w:val="20"/>
          <w:szCs w:val="20"/>
        </w:rPr>
        <w:t xml:space="preserve"> </w:t>
      </w:r>
    </w:p>
    <w:p w:rsidR="008E08E1" w:rsidRDefault="001B1377">
      <w:pPr>
        <w:tabs>
          <w:tab w:val="left" w:pos="720"/>
        </w:tabs>
        <w:spacing w:after="0" w:line="240" w:lineRule="auto"/>
        <w:ind w:left="2070" w:hanging="2070"/>
        <w:jc w:val="center"/>
        <w:rPr>
          <w:rFonts w:ascii="Verdana" w:eastAsia="Verdana" w:hAnsi="Verdana" w:cs="Verdana"/>
          <w:b/>
          <w:color w:val="000000"/>
          <w:sz w:val="20"/>
          <w:szCs w:val="20"/>
        </w:rPr>
      </w:pPr>
      <w:r>
        <w:rPr>
          <w:rFonts w:ascii="Verdana" w:eastAsia="Verdana" w:hAnsi="Verdana" w:cs="Verdana"/>
          <w:i/>
          <w:color w:val="000000"/>
          <w:sz w:val="20"/>
          <w:szCs w:val="20"/>
        </w:rPr>
        <w:t xml:space="preserve">Date:  </w:t>
      </w:r>
      <w:r>
        <w:rPr>
          <w:rFonts w:ascii="Verdana" w:eastAsia="Verdana" w:hAnsi="Verdana" w:cs="Verdana"/>
          <w:b/>
          <w:color w:val="000000"/>
          <w:sz w:val="20"/>
          <w:szCs w:val="20"/>
        </w:rPr>
        <w:t>Thursday, October 25, 2018</w:t>
      </w:r>
    </w:p>
    <w:p w:rsidR="008E08E1" w:rsidRDefault="008E08E1">
      <w:pPr>
        <w:tabs>
          <w:tab w:val="left" w:pos="720"/>
        </w:tabs>
        <w:spacing w:after="0" w:line="240" w:lineRule="auto"/>
        <w:ind w:left="2070" w:hanging="2070"/>
        <w:jc w:val="center"/>
        <w:rPr>
          <w:rFonts w:ascii="Verdana" w:eastAsia="Verdana" w:hAnsi="Verdana" w:cs="Verdana"/>
          <w:color w:val="000000"/>
          <w:sz w:val="20"/>
          <w:szCs w:val="20"/>
        </w:rPr>
      </w:pPr>
    </w:p>
    <w:p w:rsidR="008E08E1" w:rsidRDefault="001B1377">
      <w:pPr>
        <w:pBdr>
          <w:top w:val="nil"/>
          <w:left w:val="nil"/>
          <w:bottom w:val="nil"/>
          <w:right w:val="nil"/>
          <w:between w:val="nil"/>
        </w:pBdr>
        <w:spacing w:after="0" w:line="240" w:lineRule="auto"/>
        <w:jc w:val="center"/>
        <w:rPr>
          <w:color w:val="000000"/>
        </w:rPr>
      </w:pPr>
      <w:r>
        <w:rPr>
          <w:i/>
          <w:color w:val="000000"/>
        </w:rPr>
        <w:t>Location:</w:t>
      </w:r>
      <w:r>
        <w:rPr>
          <w:b/>
          <w:color w:val="000000"/>
        </w:rPr>
        <w:t xml:space="preserve">  Community College of Aurora, </w:t>
      </w:r>
      <w:r>
        <w:rPr>
          <w:color w:val="000000"/>
        </w:rPr>
        <w:t>CentreTech campus</w:t>
      </w:r>
    </w:p>
    <w:p w:rsidR="008E08E1" w:rsidRDefault="001B1377">
      <w:pPr>
        <w:pBdr>
          <w:top w:val="nil"/>
          <w:left w:val="nil"/>
          <w:bottom w:val="nil"/>
          <w:right w:val="nil"/>
          <w:between w:val="nil"/>
        </w:pBdr>
        <w:spacing w:after="0" w:line="240" w:lineRule="auto"/>
        <w:jc w:val="center"/>
        <w:rPr>
          <w:b/>
          <w:color w:val="000000"/>
        </w:rPr>
      </w:pPr>
      <w:r>
        <w:rPr>
          <w:color w:val="000000"/>
        </w:rPr>
        <w:t>Rotunda, S100 Student Centre</w:t>
      </w:r>
    </w:p>
    <w:p w:rsidR="008E08E1" w:rsidRDefault="001B1377">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color w:val="000000"/>
        </w:rPr>
        <w:t>16000 E. CentreTech Pkwy, Aurora, CO 80011</w:t>
      </w:r>
    </w:p>
    <w:p w:rsidR="008E08E1" w:rsidRDefault="008E08E1">
      <w:pPr>
        <w:spacing w:after="0" w:line="240" w:lineRule="auto"/>
        <w:ind w:left="2070" w:hanging="2070"/>
        <w:jc w:val="center"/>
        <w:rPr>
          <w:rFonts w:ascii="Verdana" w:eastAsia="Verdana" w:hAnsi="Verdana" w:cs="Verdana"/>
          <w:b/>
          <w:color w:val="000000"/>
          <w:sz w:val="20"/>
          <w:szCs w:val="20"/>
        </w:rPr>
      </w:pPr>
    </w:p>
    <w:p w:rsidR="008E08E1" w:rsidRDefault="001B1377">
      <w:pPr>
        <w:spacing w:after="0" w:line="240" w:lineRule="auto"/>
        <w:ind w:left="2070" w:hanging="2070"/>
        <w:jc w:val="center"/>
        <w:rPr>
          <w:rFonts w:ascii="Verdana" w:eastAsia="Verdana" w:hAnsi="Verdana" w:cs="Verdana"/>
          <w:color w:val="000000"/>
          <w:sz w:val="20"/>
          <w:szCs w:val="20"/>
        </w:rPr>
      </w:pPr>
      <w:r>
        <w:rPr>
          <w:rFonts w:ascii="Verdana" w:eastAsia="Verdana" w:hAnsi="Verdana" w:cs="Verdana"/>
          <w:color w:val="000000"/>
          <w:sz w:val="20"/>
          <w:szCs w:val="20"/>
        </w:rPr>
        <w:t xml:space="preserve"> </w:t>
      </w:r>
    </w:p>
    <w:tbl>
      <w:tblPr>
        <w:tblStyle w:val="a"/>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887"/>
        <w:gridCol w:w="990"/>
        <w:gridCol w:w="3240"/>
      </w:tblGrid>
      <w:tr w:rsidR="008E08E1">
        <w:tc>
          <w:tcPr>
            <w:tcW w:w="1181" w:type="dxa"/>
          </w:tcPr>
          <w:p w:rsidR="008E08E1" w:rsidRDefault="001B1377">
            <w:r>
              <w:rPr>
                <w:b/>
                <w:u w:val="single"/>
              </w:rPr>
              <w:t>P</w:t>
            </w:r>
            <w:r>
              <w:t xml:space="preserve">resent/ </w:t>
            </w:r>
            <w:r>
              <w:rPr>
                <w:b/>
                <w:u w:val="single"/>
              </w:rPr>
              <w:t>A</w:t>
            </w:r>
            <w:r>
              <w:t>bsent</w:t>
            </w:r>
          </w:p>
        </w:tc>
        <w:tc>
          <w:tcPr>
            <w:tcW w:w="2887" w:type="dxa"/>
          </w:tcPr>
          <w:p w:rsidR="008E08E1" w:rsidRDefault="008E08E1"/>
        </w:tc>
        <w:tc>
          <w:tcPr>
            <w:tcW w:w="990" w:type="dxa"/>
          </w:tcPr>
          <w:p w:rsidR="008E08E1" w:rsidRDefault="001B1377">
            <w:r>
              <w:rPr>
                <w:b/>
                <w:u w:val="single"/>
              </w:rPr>
              <w:t>P</w:t>
            </w:r>
            <w:r>
              <w:t xml:space="preserve">resent/ </w:t>
            </w:r>
            <w:r>
              <w:rPr>
                <w:b/>
                <w:u w:val="single"/>
              </w:rPr>
              <w:t>A</w:t>
            </w:r>
            <w:r>
              <w:t>bsent</w:t>
            </w:r>
          </w:p>
        </w:tc>
        <w:tc>
          <w:tcPr>
            <w:tcW w:w="3240" w:type="dxa"/>
          </w:tcPr>
          <w:p w:rsidR="008E08E1" w:rsidRDefault="008E08E1"/>
        </w:tc>
      </w:tr>
      <w:tr w:rsidR="008E08E1">
        <w:tc>
          <w:tcPr>
            <w:tcW w:w="1181" w:type="dxa"/>
          </w:tcPr>
          <w:p w:rsidR="008E08E1" w:rsidRDefault="001B1377">
            <w:r>
              <w:t>A</w:t>
            </w:r>
          </w:p>
        </w:tc>
        <w:tc>
          <w:tcPr>
            <w:tcW w:w="2887" w:type="dxa"/>
          </w:tcPr>
          <w:p w:rsidR="008E08E1" w:rsidRDefault="001B1377">
            <w:r>
              <w:t>Dan Hoff</w:t>
            </w:r>
          </w:p>
        </w:tc>
        <w:tc>
          <w:tcPr>
            <w:tcW w:w="990" w:type="dxa"/>
          </w:tcPr>
          <w:p w:rsidR="008E08E1" w:rsidRDefault="001B1377">
            <w:r>
              <w:t>A</w:t>
            </w:r>
          </w:p>
        </w:tc>
        <w:tc>
          <w:tcPr>
            <w:tcW w:w="3240" w:type="dxa"/>
          </w:tcPr>
          <w:p w:rsidR="008E08E1" w:rsidRDefault="001B1377">
            <w:r>
              <w:t>Rebecca Fernandez Martinez</w:t>
            </w:r>
          </w:p>
        </w:tc>
      </w:tr>
      <w:tr w:rsidR="008E08E1">
        <w:tc>
          <w:tcPr>
            <w:tcW w:w="1181" w:type="dxa"/>
          </w:tcPr>
          <w:p w:rsidR="008E08E1" w:rsidRDefault="001B1377">
            <w:r>
              <w:t>P</w:t>
            </w:r>
          </w:p>
        </w:tc>
        <w:tc>
          <w:tcPr>
            <w:tcW w:w="2887" w:type="dxa"/>
          </w:tcPr>
          <w:p w:rsidR="008E08E1" w:rsidRDefault="001B1377">
            <w:r>
              <w:t>Danny Martinez</w:t>
            </w:r>
          </w:p>
        </w:tc>
        <w:tc>
          <w:tcPr>
            <w:tcW w:w="990" w:type="dxa"/>
          </w:tcPr>
          <w:p w:rsidR="008E08E1" w:rsidRDefault="001B1377">
            <w:r>
              <w:t>A</w:t>
            </w:r>
          </w:p>
        </w:tc>
        <w:tc>
          <w:tcPr>
            <w:tcW w:w="3240" w:type="dxa"/>
          </w:tcPr>
          <w:p w:rsidR="008E08E1" w:rsidRDefault="001B1377">
            <w:r>
              <w:t>Renise Walker</w:t>
            </w:r>
          </w:p>
        </w:tc>
      </w:tr>
      <w:tr w:rsidR="008E08E1">
        <w:tc>
          <w:tcPr>
            <w:tcW w:w="1181" w:type="dxa"/>
          </w:tcPr>
          <w:p w:rsidR="008E08E1" w:rsidRDefault="001B1377">
            <w:r>
              <w:t>P</w:t>
            </w:r>
          </w:p>
        </w:tc>
        <w:tc>
          <w:tcPr>
            <w:tcW w:w="2887" w:type="dxa"/>
          </w:tcPr>
          <w:p w:rsidR="008E08E1" w:rsidRDefault="001B1377">
            <w:r>
              <w:t>Diana Zakhem</w:t>
            </w:r>
          </w:p>
        </w:tc>
        <w:tc>
          <w:tcPr>
            <w:tcW w:w="990" w:type="dxa"/>
          </w:tcPr>
          <w:p w:rsidR="008E08E1" w:rsidRDefault="001B1377">
            <w:r>
              <w:t>P</w:t>
            </w:r>
          </w:p>
        </w:tc>
        <w:tc>
          <w:tcPr>
            <w:tcW w:w="3240" w:type="dxa"/>
          </w:tcPr>
          <w:p w:rsidR="008E08E1" w:rsidRDefault="001B1377">
            <w:r>
              <w:rPr>
                <w:color w:val="333333"/>
              </w:rPr>
              <w:t>Rick Sciacca</w:t>
            </w:r>
          </w:p>
        </w:tc>
      </w:tr>
      <w:tr w:rsidR="008E08E1">
        <w:tc>
          <w:tcPr>
            <w:tcW w:w="1181" w:type="dxa"/>
          </w:tcPr>
          <w:p w:rsidR="008E08E1" w:rsidRDefault="001B1377">
            <w:r>
              <w:t>A</w:t>
            </w:r>
          </w:p>
        </w:tc>
        <w:tc>
          <w:tcPr>
            <w:tcW w:w="2887" w:type="dxa"/>
          </w:tcPr>
          <w:p w:rsidR="008E08E1" w:rsidRDefault="001B1377">
            <w:r>
              <w:t>Georgia Reagan</w:t>
            </w:r>
          </w:p>
        </w:tc>
        <w:tc>
          <w:tcPr>
            <w:tcW w:w="990" w:type="dxa"/>
          </w:tcPr>
          <w:p w:rsidR="008E08E1" w:rsidRDefault="001B1377">
            <w:r>
              <w:t>P</w:t>
            </w:r>
          </w:p>
        </w:tc>
        <w:tc>
          <w:tcPr>
            <w:tcW w:w="3240" w:type="dxa"/>
          </w:tcPr>
          <w:p w:rsidR="008E08E1" w:rsidRDefault="001B1377">
            <w:r>
              <w:t>Sarah Heath</w:t>
            </w:r>
          </w:p>
        </w:tc>
      </w:tr>
      <w:tr w:rsidR="008E08E1">
        <w:tc>
          <w:tcPr>
            <w:tcW w:w="1181" w:type="dxa"/>
          </w:tcPr>
          <w:p w:rsidR="008E08E1" w:rsidRDefault="001B1377">
            <w:r>
              <w:t>P</w:t>
            </w:r>
          </w:p>
        </w:tc>
        <w:tc>
          <w:tcPr>
            <w:tcW w:w="2887" w:type="dxa"/>
          </w:tcPr>
          <w:p w:rsidR="008E08E1" w:rsidRDefault="001B1377">
            <w:r>
              <w:t>Kimberly Caplan</w:t>
            </w:r>
          </w:p>
        </w:tc>
        <w:tc>
          <w:tcPr>
            <w:tcW w:w="990" w:type="dxa"/>
          </w:tcPr>
          <w:p w:rsidR="008E08E1" w:rsidRDefault="001B1377">
            <w:r>
              <w:t>P on phone</w:t>
            </w:r>
          </w:p>
        </w:tc>
        <w:tc>
          <w:tcPr>
            <w:tcW w:w="3240" w:type="dxa"/>
          </w:tcPr>
          <w:p w:rsidR="008E08E1" w:rsidRDefault="001B1377">
            <w:r>
              <w:t>Sheri Bryant</w:t>
            </w:r>
          </w:p>
        </w:tc>
      </w:tr>
      <w:tr w:rsidR="008E08E1">
        <w:tc>
          <w:tcPr>
            <w:tcW w:w="1181" w:type="dxa"/>
          </w:tcPr>
          <w:p w:rsidR="008E08E1" w:rsidRDefault="001B1377">
            <w:r>
              <w:t>P - on phone</w:t>
            </w:r>
          </w:p>
        </w:tc>
        <w:tc>
          <w:tcPr>
            <w:tcW w:w="2887" w:type="dxa"/>
          </w:tcPr>
          <w:p w:rsidR="008E08E1" w:rsidRDefault="001B1377">
            <w:r>
              <w:t>Heather Exby</w:t>
            </w:r>
          </w:p>
        </w:tc>
        <w:tc>
          <w:tcPr>
            <w:tcW w:w="990" w:type="dxa"/>
          </w:tcPr>
          <w:p w:rsidR="008E08E1" w:rsidRDefault="001B1377">
            <w:bookmarkStart w:id="1" w:name="_gjdgxs" w:colFirst="0" w:colLast="0"/>
            <w:bookmarkEnd w:id="1"/>
            <w:r>
              <w:t>A</w:t>
            </w:r>
          </w:p>
        </w:tc>
        <w:tc>
          <w:tcPr>
            <w:tcW w:w="3240" w:type="dxa"/>
          </w:tcPr>
          <w:p w:rsidR="008E08E1" w:rsidRDefault="001B1377">
            <w:r>
              <w:t>Susan Clough</w:t>
            </w:r>
          </w:p>
        </w:tc>
      </w:tr>
      <w:tr w:rsidR="008E08E1">
        <w:tc>
          <w:tcPr>
            <w:tcW w:w="1181" w:type="dxa"/>
          </w:tcPr>
          <w:p w:rsidR="008E08E1" w:rsidRDefault="001B1377">
            <w:r>
              <w:t>A</w:t>
            </w:r>
          </w:p>
        </w:tc>
        <w:tc>
          <w:tcPr>
            <w:tcW w:w="2887" w:type="dxa"/>
          </w:tcPr>
          <w:p w:rsidR="008E08E1" w:rsidRDefault="001B1377">
            <w:r>
              <w:t>Michael Gage</w:t>
            </w:r>
          </w:p>
        </w:tc>
        <w:tc>
          <w:tcPr>
            <w:tcW w:w="990" w:type="dxa"/>
          </w:tcPr>
          <w:p w:rsidR="008E08E1" w:rsidRDefault="001B1377">
            <w:r>
              <w:t>P</w:t>
            </w:r>
          </w:p>
        </w:tc>
        <w:tc>
          <w:tcPr>
            <w:tcW w:w="3240" w:type="dxa"/>
          </w:tcPr>
          <w:p w:rsidR="008E08E1" w:rsidRDefault="001B1377">
            <w:r>
              <w:t>Tammy Ward</w:t>
            </w:r>
          </w:p>
        </w:tc>
      </w:tr>
    </w:tbl>
    <w:p w:rsidR="008E08E1" w:rsidRDefault="008E08E1">
      <w:pPr>
        <w:spacing w:after="0" w:line="240" w:lineRule="auto"/>
        <w:jc w:val="center"/>
        <w:rPr>
          <w:rFonts w:ascii="Verdana" w:eastAsia="Verdana" w:hAnsi="Verdana" w:cs="Verdana"/>
          <w:i/>
          <w:color w:val="434343"/>
          <w:sz w:val="20"/>
          <w:szCs w:val="20"/>
        </w:rPr>
      </w:pPr>
    </w:p>
    <w:p w:rsidR="008E08E1" w:rsidRDefault="008E08E1">
      <w:pPr>
        <w:spacing w:after="0" w:line="240" w:lineRule="auto"/>
        <w:jc w:val="center"/>
        <w:rPr>
          <w:rFonts w:ascii="Verdana" w:eastAsia="Verdana" w:hAnsi="Verdana" w:cs="Verdana"/>
          <w:b/>
          <w:sz w:val="20"/>
          <w:szCs w:val="20"/>
        </w:rPr>
      </w:pPr>
    </w:p>
    <w:p w:rsidR="008E08E1" w:rsidRDefault="008E08E1">
      <w:pPr>
        <w:spacing w:after="0" w:line="240" w:lineRule="auto"/>
        <w:rPr>
          <w:rFonts w:ascii="Verdana" w:eastAsia="Verdana" w:hAnsi="Verdana" w:cs="Verdana"/>
          <w:sz w:val="20"/>
          <w:szCs w:val="20"/>
        </w:rPr>
      </w:pPr>
    </w:p>
    <w:p w:rsidR="008E08E1" w:rsidRDefault="001B1377">
      <w:pPr>
        <w:spacing w:after="0" w:line="240" w:lineRule="auto"/>
        <w:ind w:left="2070" w:hanging="2070"/>
        <w:rPr>
          <w:rFonts w:ascii="Verdana" w:eastAsia="Verdana" w:hAnsi="Verdana" w:cs="Verdana"/>
          <w:b/>
          <w:sz w:val="20"/>
          <w:szCs w:val="20"/>
        </w:rPr>
      </w:pPr>
      <w:r>
        <w:rPr>
          <w:rFonts w:ascii="Verdana" w:eastAsia="Verdana" w:hAnsi="Verdana" w:cs="Verdana"/>
          <w:b/>
          <w:sz w:val="20"/>
          <w:szCs w:val="20"/>
        </w:rPr>
        <w:t xml:space="preserve">Welcome &amp; Minutes Approval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i/>
          <w:sz w:val="20"/>
          <w:szCs w:val="20"/>
        </w:rPr>
        <w:tab/>
      </w:r>
      <w:r>
        <w:rPr>
          <w:rFonts w:ascii="Verdana" w:eastAsia="Verdana" w:hAnsi="Verdana" w:cs="Verdana"/>
          <w:b/>
          <w:sz w:val="20"/>
          <w:szCs w:val="20"/>
        </w:rPr>
        <w:tab/>
        <w:t xml:space="preserve">   </w:t>
      </w:r>
      <w:r>
        <w:rPr>
          <w:rFonts w:ascii="Verdana" w:eastAsia="Verdana" w:hAnsi="Verdana" w:cs="Verdana"/>
          <w:b/>
          <w:sz w:val="20"/>
          <w:szCs w:val="20"/>
        </w:rPr>
        <w:tab/>
      </w:r>
      <w:r>
        <w:rPr>
          <w:rFonts w:ascii="Verdana" w:eastAsia="Verdana" w:hAnsi="Verdana" w:cs="Verdana"/>
          <w:b/>
          <w:color w:val="FF0000"/>
          <w:sz w:val="20"/>
          <w:szCs w:val="20"/>
        </w:rPr>
        <w:tab/>
      </w:r>
      <w:r>
        <w:rPr>
          <w:rFonts w:ascii="Verdana" w:eastAsia="Verdana" w:hAnsi="Verdana" w:cs="Verdana"/>
          <w:b/>
          <w:color w:val="FF0000"/>
          <w:sz w:val="20"/>
          <w:szCs w:val="20"/>
        </w:rPr>
        <w:tab/>
      </w:r>
    </w:p>
    <w:p w:rsidR="008E08E1" w:rsidRDefault="001B1377">
      <w:pPr>
        <w:spacing w:line="240" w:lineRule="auto"/>
        <w:ind w:firstLine="720"/>
        <w:rPr>
          <w:rFonts w:ascii="Verdana" w:eastAsia="Verdana" w:hAnsi="Verdana" w:cs="Verdana"/>
          <w:i/>
          <w:sz w:val="20"/>
          <w:szCs w:val="20"/>
        </w:rPr>
      </w:pPr>
      <w:r>
        <w:rPr>
          <w:rFonts w:ascii="Verdana" w:eastAsia="Verdana" w:hAnsi="Verdana" w:cs="Verdana"/>
          <w:i/>
          <w:sz w:val="20"/>
          <w:szCs w:val="20"/>
        </w:rPr>
        <w:t>Sarah Heath</w:t>
      </w:r>
    </w:p>
    <w:p w:rsidR="008E08E1" w:rsidRDefault="00B37C7B" w:rsidP="00B37C7B">
      <w:pPr>
        <w:spacing w:line="240" w:lineRule="auto"/>
        <w:ind w:left="720"/>
        <w:rPr>
          <w:rFonts w:ascii="Verdana" w:eastAsia="Verdana" w:hAnsi="Verdana" w:cs="Verdana"/>
          <w:i/>
          <w:sz w:val="20"/>
          <w:szCs w:val="20"/>
        </w:rPr>
      </w:pPr>
      <w:r>
        <w:rPr>
          <w:rFonts w:ascii="Verdana" w:eastAsia="Verdana" w:hAnsi="Verdana" w:cs="Verdana"/>
          <w:color w:val="000000" w:themeColor="text1"/>
          <w:sz w:val="20"/>
          <w:szCs w:val="20"/>
        </w:rPr>
        <w:t>M</w:t>
      </w:r>
      <w:r w:rsidRPr="00D6561A">
        <w:rPr>
          <w:rFonts w:ascii="Verdana" w:eastAsia="Verdana" w:hAnsi="Verdana" w:cs="Verdana"/>
          <w:color w:val="000000" w:themeColor="text1"/>
          <w:sz w:val="20"/>
          <w:szCs w:val="20"/>
        </w:rPr>
        <w:t>otion to approve</w:t>
      </w:r>
      <w:r>
        <w:rPr>
          <w:rFonts w:ascii="Verdana" w:eastAsia="Verdana" w:hAnsi="Verdana" w:cs="Verdana"/>
          <w:color w:val="000000" w:themeColor="text1"/>
          <w:sz w:val="20"/>
          <w:szCs w:val="20"/>
        </w:rPr>
        <w:t xml:space="preserve"> made by Tammy Ward</w:t>
      </w:r>
      <w:r w:rsidRPr="00D6561A">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Second by </w:t>
      </w:r>
      <w:r w:rsidRPr="00D6561A">
        <w:rPr>
          <w:rFonts w:ascii="Verdana" w:eastAsia="Verdana" w:hAnsi="Verdana" w:cs="Verdana"/>
          <w:color w:val="000000" w:themeColor="text1"/>
          <w:sz w:val="20"/>
          <w:szCs w:val="20"/>
        </w:rPr>
        <w:t>R</w:t>
      </w:r>
      <w:r>
        <w:rPr>
          <w:rFonts w:ascii="Verdana" w:eastAsia="Verdana" w:hAnsi="Verdana" w:cs="Verdana"/>
          <w:color w:val="000000" w:themeColor="text1"/>
          <w:sz w:val="20"/>
          <w:szCs w:val="20"/>
        </w:rPr>
        <w:t>ick Sciacca; Minutes approved.</w:t>
      </w:r>
    </w:p>
    <w:p w:rsidR="008E08E1" w:rsidRPr="00635A0F" w:rsidRDefault="001B1377">
      <w:pPr>
        <w:numPr>
          <w:ilvl w:val="0"/>
          <w:numId w:val="5"/>
        </w:numPr>
        <w:pBdr>
          <w:top w:val="nil"/>
          <w:left w:val="nil"/>
          <w:bottom w:val="nil"/>
          <w:right w:val="nil"/>
          <w:between w:val="nil"/>
        </w:pBdr>
        <w:spacing w:line="240" w:lineRule="auto"/>
        <w:contextualSpacing/>
        <w:rPr>
          <w:color w:val="000000"/>
          <w:sz w:val="20"/>
          <w:szCs w:val="20"/>
        </w:rPr>
      </w:pPr>
      <w:r w:rsidRPr="00635A0F">
        <w:rPr>
          <w:rFonts w:ascii="Verdana" w:eastAsia="Verdana" w:hAnsi="Verdana" w:cs="Verdana"/>
          <w:b/>
          <w:color w:val="000000"/>
          <w:sz w:val="20"/>
          <w:szCs w:val="20"/>
        </w:rPr>
        <w:t>Colorado representation in National Alliance of Concurrent Enrollment Partnerships (NACEP)</w:t>
      </w:r>
      <w:r>
        <w:rPr>
          <w:rFonts w:ascii="Verdana" w:eastAsia="Verdana" w:hAnsi="Verdana" w:cs="Verdana"/>
          <w:color w:val="000000"/>
          <w:sz w:val="20"/>
          <w:szCs w:val="20"/>
        </w:rPr>
        <w:t xml:space="preserve"> – Mary Perez</w:t>
      </w:r>
      <w:r w:rsidR="00635A0F">
        <w:rPr>
          <w:rFonts w:ascii="Verdana" w:eastAsia="Verdana" w:hAnsi="Verdana" w:cs="Verdana"/>
          <w:color w:val="000000"/>
          <w:sz w:val="20"/>
          <w:szCs w:val="20"/>
        </w:rPr>
        <w:t xml:space="preserve"> (D49) and</w:t>
      </w:r>
      <w:r>
        <w:rPr>
          <w:rFonts w:ascii="Verdana" w:eastAsia="Verdana" w:hAnsi="Verdana" w:cs="Verdana"/>
          <w:color w:val="000000"/>
          <w:sz w:val="20"/>
          <w:szCs w:val="20"/>
        </w:rPr>
        <w:t xml:space="preserve"> Brandon Protas</w:t>
      </w:r>
      <w:r w:rsidR="00635A0F">
        <w:rPr>
          <w:rFonts w:ascii="Verdana" w:eastAsia="Verdana" w:hAnsi="Verdana" w:cs="Verdana"/>
          <w:color w:val="000000"/>
          <w:sz w:val="20"/>
          <w:szCs w:val="20"/>
        </w:rPr>
        <w:t xml:space="preserve"> (CCD) represent Colorado on the NACEP board.</w:t>
      </w:r>
      <w:r>
        <w:rPr>
          <w:rFonts w:ascii="Verdana" w:eastAsia="Verdana" w:hAnsi="Verdana" w:cs="Verdana"/>
          <w:color w:val="000000"/>
          <w:sz w:val="20"/>
          <w:szCs w:val="20"/>
        </w:rPr>
        <w:t xml:space="preserve"> </w:t>
      </w:r>
      <w:r w:rsidR="00635A0F">
        <w:rPr>
          <w:rFonts w:ascii="Verdana" w:eastAsia="Verdana" w:hAnsi="Verdana" w:cs="Verdana"/>
          <w:color w:val="000000"/>
          <w:sz w:val="20"/>
          <w:szCs w:val="20"/>
        </w:rPr>
        <w:t>C</w:t>
      </w:r>
      <w:r w:rsidRPr="00635A0F">
        <w:rPr>
          <w:rFonts w:ascii="Verdana" w:eastAsia="Verdana" w:hAnsi="Verdana" w:cs="Verdana"/>
          <w:color w:val="000000"/>
          <w:sz w:val="20"/>
          <w:szCs w:val="20"/>
        </w:rPr>
        <w:t xml:space="preserve">ontact Mary and Brandon </w:t>
      </w:r>
      <w:r w:rsidR="00635A0F">
        <w:rPr>
          <w:rFonts w:ascii="Verdana" w:eastAsia="Verdana" w:hAnsi="Verdana" w:cs="Verdana"/>
          <w:color w:val="000000"/>
          <w:sz w:val="20"/>
          <w:szCs w:val="20"/>
        </w:rPr>
        <w:t xml:space="preserve">to have information/concerns </w:t>
      </w:r>
      <w:r w:rsidRPr="00635A0F">
        <w:rPr>
          <w:rFonts w:ascii="Verdana" w:eastAsia="Verdana" w:hAnsi="Verdana" w:cs="Verdana"/>
          <w:sz w:val="20"/>
          <w:szCs w:val="20"/>
        </w:rPr>
        <w:t>forward</w:t>
      </w:r>
      <w:r w:rsidR="00471A8C">
        <w:rPr>
          <w:rFonts w:ascii="Verdana" w:eastAsia="Verdana" w:hAnsi="Verdana" w:cs="Verdana"/>
          <w:sz w:val="20"/>
          <w:szCs w:val="20"/>
        </w:rPr>
        <w:t>ed</w:t>
      </w:r>
      <w:r w:rsidRPr="00635A0F">
        <w:rPr>
          <w:rFonts w:ascii="Verdana" w:eastAsia="Verdana" w:hAnsi="Verdana" w:cs="Verdana"/>
          <w:sz w:val="20"/>
          <w:szCs w:val="20"/>
        </w:rPr>
        <w:t xml:space="preserve"> to NACEP</w:t>
      </w:r>
      <w:r w:rsidR="00635A0F">
        <w:rPr>
          <w:rFonts w:ascii="Verdana" w:eastAsia="Verdana" w:hAnsi="Verdana" w:cs="Verdana"/>
          <w:sz w:val="20"/>
          <w:szCs w:val="20"/>
        </w:rPr>
        <w:t xml:space="preserve"> board.</w:t>
      </w:r>
    </w:p>
    <w:p w:rsidR="008E08E1" w:rsidRDefault="008E08E1">
      <w:pPr>
        <w:spacing w:after="0" w:line="240" w:lineRule="auto"/>
        <w:rPr>
          <w:rFonts w:ascii="Verdana" w:eastAsia="Verdana" w:hAnsi="Verdana" w:cs="Verdana"/>
          <w:b/>
          <w:sz w:val="20"/>
          <w:szCs w:val="20"/>
        </w:rPr>
      </w:pPr>
    </w:p>
    <w:p w:rsidR="008E08E1" w:rsidRDefault="001B1377">
      <w:pPr>
        <w:spacing w:after="0" w:line="240" w:lineRule="auto"/>
        <w:rPr>
          <w:rFonts w:ascii="Verdana" w:eastAsia="Verdana" w:hAnsi="Verdana" w:cs="Verdana"/>
          <w:b/>
          <w:sz w:val="20"/>
          <w:szCs w:val="20"/>
        </w:rPr>
      </w:pPr>
      <w:r>
        <w:rPr>
          <w:rFonts w:ascii="Verdana" w:eastAsia="Verdana" w:hAnsi="Verdana" w:cs="Verdana"/>
          <w:b/>
          <w:sz w:val="20"/>
          <w:szCs w:val="20"/>
        </w:rPr>
        <w:t xml:space="preserve">CDE Updates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8E08E1" w:rsidRDefault="001B1377">
      <w:pPr>
        <w:spacing w:after="0" w:line="240" w:lineRule="auto"/>
        <w:rPr>
          <w:rFonts w:ascii="Verdana" w:eastAsia="Verdana" w:hAnsi="Verdana" w:cs="Verdana"/>
          <w:b/>
          <w:sz w:val="20"/>
          <w:szCs w:val="20"/>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i/>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8E08E1" w:rsidRPr="0082167D" w:rsidRDefault="001B1377">
      <w:pPr>
        <w:numPr>
          <w:ilvl w:val="0"/>
          <w:numId w:val="6"/>
        </w:numPr>
        <w:pBdr>
          <w:top w:val="nil"/>
          <w:left w:val="nil"/>
          <w:bottom w:val="nil"/>
          <w:right w:val="nil"/>
          <w:between w:val="nil"/>
        </w:pBdr>
        <w:tabs>
          <w:tab w:val="left" w:pos="810"/>
        </w:tabs>
        <w:spacing w:after="0" w:line="240" w:lineRule="auto"/>
        <w:contextualSpacing/>
        <w:rPr>
          <w:b/>
          <w:color w:val="000000"/>
          <w:sz w:val="20"/>
          <w:szCs w:val="20"/>
        </w:rPr>
      </w:pPr>
      <w:r w:rsidRPr="0082167D">
        <w:rPr>
          <w:rFonts w:ascii="Verdana" w:eastAsia="Verdana" w:hAnsi="Verdana" w:cs="Verdana"/>
          <w:b/>
          <w:color w:val="000000"/>
          <w:sz w:val="20"/>
          <w:szCs w:val="20"/>
        </w:rPr>
        <w:t xml:space="preserve">Legislative Updates – </w:t>
      </w:r>
      <w:r w:rsidRPr="0082167D">
        <w:rPr>
          <w:rFonts w:ascii="Verdana" w:eastAsia="Verdana" w:hAnsi="Verdana" w:cs="Verdana"/>
          <w:b/>
          <w:i/>
          <w:color w:val="000000"/>
          <w:sz w:val="20"/>
          <w:szCs w:val="20"/>
        </w:rPr>
        <w:t>Andy Tucker</w:t>
      </w:r>
    </w:p>
    <w:p w:rsidR="008E08E1" w:rsidRPr="0082167D" w:rsidRDefault="001B1377">
      <w:pPr>
        <w:numPr>
          <w:ilvl w:val="1"/>
          <w:numId w:val="6"/>
        </w:numPr>
        <w:pBdr>
          <w:top w:val="nil"/>
          <w:left w:val="nil"/>
          <w:bottom w:val="nil"/>
          <w:right w:val="nil"/>
          <w:between w:val="nil"/>
        </w:pBdr>
        <w:tabs>
          <w:tab w:val="left" w:pos="810"/>
        </w:tabs>
        <w:spacing w:after="0" w:line="240" w:lineRule="auto"/>
        <w:contextualSpacing/>
        <w:rPr>
          <w:rFonts w:ascii="Verdana" w:eastAsia="Verdana" w:hAnsi="Verdana" w:cs="Verdana"/>
          <w:sz w:val="20"/>
          <w:szCs w:val="20"/>
        </w:rPr>
      </w:pPr>
      <w:r w:rsidRPr="0082167D">
        <w:rPr>
          <w:rFonts w:ascii="Verdana" w:eastAsia="Verdana" w:hAnsi="Verdana" w:cs="Verdana"/>
          <w:sz w:val="20"/>
          <w:szCs w:val="20"/>
        </w:rPr>
        <w:t xml:space="preserve">No </w:t>
      </w:r>
      <w:r w:rsidR="00471A8C">
        <w:rPr>
          <w:rFonts w:ascii="Verdana" w:eastAsia="Verdana" w:hAnsi="Verdana" w:cs="Verdana"/>
          <w:sz w:val="20"/>
          <w:szCs w:val="20"/>
        </w:rPr>
        <w:t>new legislation</w:t>
      </w:r>
      <w:r w:rsidRPr="0082167D">
        <w:rPr>
          <w:rFonts w:ascii="Verdana" w:eastAsia="Verdana" w:hAnsi="Verdana" w:cs="Verdana"/>
          <w:sz w:val="20"/>
          <w:szCs w:val="20"/>
        </w:rPr>
        <w:t>.</w:t>
      </w:r>
    </w:p>
    <w:p w:rsidR="008E08E1" w:rsidRPr="00923A02" w:rsidRDefault="00170940" w:rsidP="002D4E13">
      <w:pPr>
        <w:pStyle w:val="ListParagraph"/>
        <w:numPr>
          <w:ilvl w:val="1"/>
          <w:numId w:val="6"/>
        </w:numPr>
        <w:rPr>
          <w:rStyle w:val="Hyperlink"/>
          <w:rFonts w:ascii="Verdana" w:hAnsi="Verdana"/>
          <w:b/>
          <w:color w:val="auto"/>
          <w:sz w:val="20"/>
          <w:szCs w:val="20"/>
          <w:u w:val="none"/>
        </w:rPr>
      </w:pPr>
      <w:r>
        <w:rPr>
          <w:rFonts w:ascii="Verdana" w:eastAsia="Verdana" w:hAnsi="Verdana" w:cs="Verdana"/>
          <w:b/>
          <w:sz w:val="20"/>
          <w:szCs w:val="20"/>
        </w:rPr>
        <w:t>Early College meeting update -</w:t>
      </w:r>
      <w:r w:rsidR="002D4E13" w:rsidRPr="0082167D">
        <w:rPr>
          <w:rFonts w:ascii="Verdana" w:hAnsi="Verdana"/>
          <w:sz w:val="20"/>
          <w:szCs w:val="20"/>
        </w:rPr>
        <w:t xml:space="preserve"> The meeting was a productive time for stakeholders to share ideas, review research, and provide suggestions </w:t>
      </w:r>
      <w:r>
        <w:rPr>
          <w:rFonts w:ascii="Verdana" w:hAnsi="Verdana"/>
          <w:sz w:val="20"/>
          <w:szCs w:val="20"/>
        </w:rPr>
        <w:t>regarding</w:t>
      </w:r>
      <w:r w:rsidR="002D4E13" w:rsidRPr="0082167D">
        <w:rPr>
          <w:rFonts w:ascii="Verdana" w:hAnsi="Verdana"/>
          <w:sz w:val="20"/>
          <w:szCs w:val="20"/>
        </w:rPr>
        <w:t xml:space="preserve"> how to make Colorado’s early colleges the best they can be given the state’s new definition.  </w:t>
      </w:r>
      <w:r>
        <w:rPr>
          <w:rFonts w:ascii="Verdana" w:hAnsi="Verdana"/>
          <w:sz w:val="20"/>
          <w:szCs w:val="20"/>
        </w:rPr>
        <w:t>Another discussion session will be held</w:t>
      </w:r>
      <w:r w:rsidR="002D4E13" w:rsidRPr="0082167D">
        <w:rPr>
          <w:rFonts w:ascii="Verdana" w:hAnsi="Verdana"/>
          <w:sz w:val="20"/>
          <w:szCs w:val="20"/>
        </w:rPr>
        <w:t xml:space="preserve"> on Monday, November 5 from 9:30AM-1:00PM at the </w:t>
      </w:r>
      <w:r w:rsidR="002D4E13" w:rsidRPr="00170940">
        <w:rPr>
          <w:rFonts w:ascii="Verdana" w:hAnsi="Verdana"/>
          <w:sz w:val="20"/>
          <w:szCs w:val="20"/>
        </w:rPr>
        <w:t>Lowry Conference Center</w:t>
      </w:r>
      <w:r>
        <w:rPr>
          <w:rFonts w:ascii="Verdana" w:hAnsi="Verdana"/>
          <w:sz w:val="20"/>
          <w:szCs w:val="20"/>
        </w:rPr>
        <w:t>.</w:t>
      </w:r>
    </w:p>
    <w:p w:rsidR="00923A02" w:rsidRDefault="00923A02" w:rsidP="00923A02">
      <w:pPr>
        <w:numPr>
          <w:ilvl w:val="1"/>
          <w:numId w:val="6"/>
        </w:numPr>
        <w:pBdr>
          <w:top w:val="nil"/>
          <w:left w:val="nil"/>
          <w:bottom w:val="nil"/>
          <w:right w:val="nil"/>
          <w:between w:val="nil"/>
        </w:pBdr>
        <w:tabs>
          <w:tab w:val="left" w:pos="810"/>
        </w:tabs>
        <w:spacing w:after="0" w:line="240" w:lineRule="auto"/>
        <w:contextualSpacing/>
        <w:rPr>
          <w:color w:val="000000"/>
          <w:sz w:val="20"/>
          <w:szCs w:val="20"/>
        </w:rPr>
      </w:pPr>
      <w:r>
        <w:rPr>
          <w:rFonts w:ascii="Verdana" w:eastAsia="Verdana" w:hAnsi="Verdana" w:cs="Verdana"/>
          <w:color w:val="000000"/>
          <w:sz w:val="20"/>
          <w:szCs w:val="20"/>
        </w:rPr>
        <w:lastRenderedPageBreak/>
        <w:t xml:space="preserve">Updated </w:t>
      </w:r>
      <w:hyperlink r:id="rId7" w:history="1">
        <w:r w:rsidRPr="00475A88">
          <w:rPr>
            <w:rStyle w:val="Hyperlink"/>
            <w:rFonts w:ascii="Verdana" w:eastAsia="Verdana" w:hAnsi="Verdana" w:cs="Verdana"/>
            <w:sz w:val="20"/>
            <w:szCs w:val="20"/>
          </w:rPr>
          <w:t>CEAB Operating Procedures manual</w:t>
        </w:r>
      </w:hyperlink>
      <w:r>
        <w:rPr>
          <w:rFonts w:ascii="Verdana" w:eastAsia="Verdana" w:hAnsi="Verdana" w:cs="Verdana"/>
          <w:color w:val="000000"/>
          <w:sz w:val="20"/>
          <w:szCs w:val="20"/>
        </w:rPr>
        <w:t xml:space="preserve"> </w:t>
      </w:r>
      <w:r w:rsidR="00475A88">
        <w:rPr>
          <w:rFonts w:ascii="Verdana" w:eastAsia="Verdana" w:hAnsi="Verdana" w:cs="Verdana"/>
          <w:color w:val="000000"/>
          <w:sz w:val="20"/>
          <w:szCs w:val="20"/>
        </w:rPr>
        <w:t xml:space="preserve">is now </w:t>
      </w:r>
      <w:r>
        <w:rPr>
          <w:rFonts w:ascii="Verdana" w:eastAsia="Verdana" w:hAnsi="Verdana" w:cs="Verdana"/>
          <w:color w:val="000000"/>
          <w:sz w:val="20"/>
          <w:szCs w:val="20"/>
        </w:rPr>
        <w:t xml:space="preserve">on webpage </w:t>
      </w:r>
    </w:p>
    <w:p w:rsidR="00923A02" w:rsidRDefault="00923A02" w:rsidP="00923A02">
      <w:pPr>
        <w:pBdr>
          <w:top w:val="nil"/>
          <w:left w:val="nil"/>
          <w:bottom w:val="nil"/>
          <w:right w:val="nil"/>
          <w:between w:val="nil"/>
        </w:pBdr>
        <w:tabs>
          <w:tab w:val="left" w:pos="810"/>
        </w:tabs>
        <w:spacing w:after="0" w:line="240" w:lineRule="auto"/>
        <w:ind w:left="810" w:hanging="720"/>
        <w:rPr>
          <w:rFonts w:ascii="Verdana" w:eastAsia="Verdana" w:hAnsi="Verdana" w:cs="Verdana"/>
          <w:i/>
          <w:color w:val="000000"/>
          <w:sz w:val="20"/>
          <w:szCs w:val="20"/>
        </w:rPr>
      </w:pPr>
    </w:p>
    <w:p w:rsidR="00923A02" w:rsidRPr="00594ED1" w:rsidRDefault="00923A02" w:rsidP="00923A02">
      <w:pPr>
        <w:pStyle w:val="ListParagraph"/>
        <w:numPr>
          <w:ilvl w:val="1"/>
          <w:numId w:val="6"/>
        </w:numPr>
        <w:rPr>
          <w:rFonts w:ascii="Verdana" w:hAnsi="Verdana"/>
          <w:b/>
          <w:sz w:val="20"/>
          <w:szCs w:val="20"/>
        </w:rPr>
      </w:pPr>
      <w:r w:rsidRPr="00923A02">
        <w:rPr>
          <w:rFonts w:ascii="Verdana" w:eastAsia="Verdana" w:hAnsi="Verdana" w:cs="Verdana"/>
          <w:b/>
          <w:color w:val="000000"/>
          <w:sz w:val="20"/>
          <w:szCs w:val="20"/>
        </w:rPr>
        <w:t>HB18-1005: CE Notification Bill</w:t>
      </w:r>
      <w:r w:rsidRPr="00227A4D">
        <w:rPr>
          <w:rFonts w:ascii="Verdana" w:eastAsia="Verdana" w:hAnsi="Verdana" w:cs="Verdana"/>
          <w:color w:val="000000"/>
          <w:sz w:val="20"/>
          <w:szCs w:val="20"/>
        </w:rPr>
        <w:t xml:space="preserve"> – </w:t>
      </w:r>
      <w:r w:rsidRPr="00923A02">
        <w:rPr>
          <w:rFonts w:ascii="Verdana" w:eastAsia="Verdana" w:hAnsi="Verdana" w:cs="Verdana"/>
          <w:color w:val="000000"/>
        </w:rPr>
        <w:t xml:space="preserve">This </w:t>
      </w:r>
      <w:r w:rsidR="00D32D34">
        <w:rPr>
          <w:rFonts w:ascii="Verdana" w:eastAsia="Verdana" w:hAnsi="Verdana" w:cs="Verdana"/>
          <w:color w:val="000000"/>
        </w:rPr>
        <w:t xml:space="preserve">clarifying </w:t>
      </w:r>
      <w:r w:rsidRPr="00923A02">
        <w:rPr>
          <w:rFonts w:ascii="Verdana" w:eastAsia="Verdana" w:hAnsi="Verdana" w:cs="Verdana"/>
          <w:color w:val="000000"/>
        </w:rPr>
        <w:t xml:space="preserve">wording </w:t>
      </w:r>
      <w:r w:rsidR="00D32D34">
        <w:rPr>
          <w:rFonts w:ascii="Verdana" w:eastAsia="Verdana" w:hAnsi="Verdana" w:cs="Verdana"/>
          <w:color w:val="000000"/>
        </w:rPr>
        <w:t>has been</w:t>
      </w:r>
      <w:r w:rsidRPr="00923A02">
        <w:rPr>
          <w:rFonts w:ascii="Verdana" w:eastAsia="Verdana" w:hAnsi="Verdana" w:cs="Verdana"/>
          <w:color w:val="000000"/>
        </w:rPr>
        <w:t xml:space="preserve"> added to </w:t>
      </w:r>
      <w:r w:rsidR="00D32D34">
        <w:rPr>
          <w:rFonts w:ascii="Verdana" w:eastAsia="Verdana" w:hAnsi="Verdana" w:cs="Verdana"/>
          <w:color w:val="000000"/>
        </w:rPr>
        <w:t xml:space="preserve">the </w:t>
      </w:r>
      <w:r w:rsidRPr="00923A02">
        <w:rPr>
          <w:rFonts w:ascii="Verdana" w:eastAsia="Verdana" w:hAnsi="Verdana" w:cs="Verdana"/>
          <w:color w:val="000000"/>
        </w:rPr>
        <w:t>sample</w:t>
      </w:r>
      <w:r w:rsidR="00D32D34">
        <w:rPr>
          <w:rFonts w:ascii="Verdana" w:eastAsia="Verdana" w:hAnsi="Verdana" w:cs="Verdana"/>
          <w:color w:val="000000"/>
        </w:rPr>
        <w:t xml:space="preserve"> wording </w:t>
      </w:r>
      <w:r w:rsidRPr="00923A02">
        <w:rPr>
          <w:rFonts w:ascii="Verdana" w:eastAsia="Verdana" w:hAnsi="Verdana" w:cs="Verdana"/>
          <w:color w:val="000000"/>
        </w:rPr>
        <w:t>doc</w:t>
      </w:r>
      <w:r w:rsidR="00D32D34">
        <w:rPr>
          <w:rFonts w:ascii="Verdana" w:eastAsia="Verdana" w:hAnsi="Verdana" w:cs="Verdana"/>
          <w:color w:val="000000"/>
        </w:rPr>
        <w:t>ument</w:t>
      </w:r>
      <w:r w:rsidRPr="00923A02">
        <w:rPr>
          <w:rFonts w:ascii="Verdana" w:eastAsia="Verdana" w:hAnsi="Verdana" w:cs="Verdana"/>
          <w:color w:val="000000"/>
        </w:rPr>
        <w:t xml:space="preserve">: </w:t>
      </w:r>
      <w:r w:rsidRPr="00923A02">
        <w:rPr>
          <w:rFonts w:ascii="Verdana" w:hAnsi="Verdana"/>
          <w:bCs/>
          <w:i/>
          <w:iCs/>
          <w:color w:val="000000" w:themeColor="text1"/>
        </w:rPr>
        <w:t xml:space="preserve">LEPs </w:t>
      </w:r>
      <w:r w:rsidRPr="00923A02">
        <w:rPr>
          <w:rFonts w:ascii="Verdana" w:hAnsi="Verdana"/>
          <w:bCs/>
          <w:i/>
          <w:iCs/>
          <w:color w:val="000000" w:themeColor="text1"/>
          <w:u w:val="single"/>
        </w:rPr>
        <w:t>must</w:t>
      </w:r>
      <w:r w:rsidRPr="00923A02">
        <w:rPr>
          <w:rFonts w:ascii="Verdana" w:hAnsi="Verdana"/>
          <w:i/>
          <w:iCs/>
          <w:color w:val="000000" w:themeColor="text1"/>
          <w:u w:val="single"/>
        </w:rPr>
        <w:t xml:space="preserve"> </w:t>
      </w:r>
      <w:r w:rsidRPr="00923A02">
        <w:rPr>
          <w:rFonts w:ascii="Verdana" w:hAnsi="Verdana"/>
          <w:bCs/>
          <w:i/>
          <w:iCs/>
          <w:color w:val="000000" w:themeColor="text1"/>
        </w:rPr>
        <w:t>send this notice via email, other electronic method, or postal service in order to assure that it reaches students/parents/guardians directly.</w:t>
      </w:r>
    </w:p>
    <w:p w:rsidR="00594ED1" w:rsidRPr="00594ED1" w:rsidRDefault="00594ED1" w:rsidP="00594ED1">
      <w:pPr>
        <w:pStyle w:val="ListParagraph"/>
        <w:rPr>
          <w:rFonts w:ascii="Verdana" w:hAnsi="Verdana"/>
          <w:b/>
          <w:sz w:val="20"/>
          <w:szCs w:val="20"/>
        </w:rPr>
      </w:pPr>
    </w:p>
    <w:p w:rsidR="005439A4" w:rsidRDefault="005439A4" w:rsidP="005439A4">
      <w:pPr>
        <w:spacing w:after="0" w:line="240" w:lineRule="auto"/>
        <w:ind w:left="720" w:hanging="360"/>
        <w:contextualSpacing/>
        <w:rPr>
          <w:color w:val="000000"/>
          <w:sz w:val="20"/>
          <w:szCs w:val="20"/>
        </w:rPr>
      </w:pPr>
      <w:r>
        <w:rPr>
          <w:rFonts w:ascii="Noto Sans Symbols" w:hAnsi="Noto Sans Symbols"/>
          <w:color w:val="000000"/>
          <w:sz w:val="20"/>
          <w:szCs w:val="20"/>
        </w:rPr>
        <w:t>●</w:t>
      </w:r>
      <w:r>
        <w:rPr>
          <w:rFonts w:ascii="Times New Roman" w:hAnsi="Times New Roman"/>
          <w:color w:val="000000"/>
          <w:sz w:val="14"/>
          <w:szCs w:val="14"/>
        </w:rPr>
        <w:t xml:space="preserve">        </w:t>
      </w:r>
      <w:r>
        <w:rPr>
          <w:rFonts w:ascii="Verdana" w:hAnsi="Verdana"/>
          <w:b/>
          <w:bCs/>
          <w:color w:val="000000"/>
          <w:sz w:val="20"/>
          <w:szCs w:val="20"/>
        </w:rPr>
        <w:t>Student Data Privacy</w:t>
      </w:r>
      <w:r>
        <w:rPr>
          <w:rFonts w:ascii="Verdana" w:hAnsi="Verdana"/>
          <w:color w:val="000000"/>
          <w:sz w:val="20"/>
          <w:szCs w:val="20"/>
        </w:rPr>
        <w:t xml:space="preserve"> - </w:t>
      </w:r>
      <w:r>
        <w:rPr>
          <w:rFonts w:ascii="Verdana" w:hAnsi="Verdana"/>
          <w:i/>
          <w:iCs/>
          <w:color w:val="000000"/>
          <w:sz w:val="20"/>
          <w:szCs w:val="20"/>
        </w:rPr>
        <w:t>Jill</w:t>
      </w:r>
      <w:r>
        <w:rPr>
          <w:rFonts w:ascii="Verdana" w:hAnsi="Verdana"/>
          <w:b/>
          <w:bCs/>
          <w:i/>
          <w:iCs/>
          <w:color w:val="000000"/>
          <w:sz w:val="20"/>
          <w:szCs w:val="20"/>
        </w:rPr>
        <w:t> </w:t>
      </w:r>
      <w:r>
        <w:rPr>
          <w:rFonts w:ascii="Verdana" w:hAnsi="Verdana"/>
          <w:i/>
          <w:iCs/>
          <w:color w:val="000000"/>
          <w:sz w:val="20"/>
          <w:szCs w:val="20"/>
        </w:rPr>
        <w:t>Stacey</w:t>
      </w:r>
      <w:r>
        <w:rPr>
          <w:rFonts w:ascii="Verdana" w:hAnsi="Verdana"/>
          <w:i/>
          <w:iCs/>
          <w:color w:val="000000"/>
          <w:sz w:val="24"/>
          <w:szCs w:val="24"/>
        </w:rPr>
        <w:t xml:space="preserve">, </w:t>
      </w:r>
      <w:r>
        <w:rPr>
          <w:rFonts w:ascii="Verdana" w:hAnsi="Verdana"/>
          <w:i/>
          <w:iCs/>
          <w:color w:val="000000"/>
          <w:sz w:val="20"/>
          <w:szCs w:val="20"/>
        </w:rPr>
        <w:t>CDE’s</w:t>
      </w:r>
      <w:r>
        <w:rPr>
          <w:rFonts w:ascii="Verdana" w:hAnsi="Verdana"/>
          <w:i/>
          <w:iCs/>
          <w:color w:val="000000"/>
          <w:sz w:val="24"/>
          <w:szCs w:val="24"/>
        </w:rPr>
        <w:t xml:space="preserve"> </w:t>
      </w:r>
      <w:r>
        <w:rPr>
          <w:rFonts w:ascii="Verdana" w:hAnsi="Verdana"/>
          <w:i/>
          <w:iCs/>
          <w:color w:val="000000"/>
          <w:sz w:val="20"/>
          <w:szCs w:val="20"/>
        </w:rPr>
        <w:t xml:space="preserve">Data Privacy Analyst in the Information Management Services Department </w:t>
      </w:r>
      <w:r>
        <w:rPr>
          <w:rFonts w:ascii="Verdana" w:hAnsi="Verdana"/>
          <w:color w:val="000000"/>
          <w:sz w:val="20"/>
          <w:szCs w:val="20"/>
        </w:rPr>
        <w:t xml:space="preserve">– presented information/clarification regarding the transferring of student personally identifiable information (PII).  See PowerPoint presentation at:  </w:t>
      </w:r>
      <w:hyperlink r:id="rId8" w:history="1">
        <w:r>
          <w:rPr>
            <w:rStyle w:val="Hyperlink"/>
            <w:rFonts w:ascii="Verdana" w:hAnsi="Verdana"/>
            <w:sz w:val="20"/>
            <w:szCs w:val="20"/>
          </w:rPr>
          <w:t>http://www.cde.state.co.us/postsecondary/piipresentation</w:t>
        </w:r>
      </w:hyperlink>
    </w:p>
    <w:p w:rsidR="005439A4" w:rsidRDefault="005439A4" w:rsidP="005439A4">
      <w:pPr>
        <w:spacing w:after="0" w:line="240" w:lineRule="auto"/>
        <w:ind w:left="720"/>
        <w:contextualSpacing/>
        <w:rPr>
          <w:color w:val="000000"/>
          <w:sz w:val="20"/>
          <w:szCs w:val="20"/>
        </w:rPr>
      </w:pPr>
    </w:p>
    <w:p w:rsidR="005439A4" w:rsidRDefault="005439A4" w:rsidP="005439A4">
      <w:pPr>
        <w:spacing w:after="0" w:line="240" w:lineRule="auto"/>
        <w:ind w:left="720"/>
        <w:contextualSpacing/>
        <w:rPr>
          <w:rFonts w:ascii="Verdana" w:hAnsi="Verdana"/>
          <w:color w:val="000000"/>
          <w:sz w:val="20"/>
          <w:szCs w:val="20"/>
        </w:rPr>
      </w:pPr>
      <w:r>
        <w:rPr>
          <w:rFonts w:ascii="Verdana" w:hAnsi="Verdana"/>
          <w:color w:val="000000"/>
          <w:sz w:val="20"/>
          <w:szCs w:val="20"/>
        </w:rPr>
        <w:t>Presentation highlights:</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Contact your legal counsel for guidance and work within the laws.</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 xml:space="preserve">The Student Data Transparency and Security Act [C.R.S. 22-16-101 et. al.] (SDTSA) law does not apply if an LEP is transferring PII data to an IHE unless the IHE is a school service on demand provider, which is very rare; however FERPA does. </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Student grades &amp; attendance can be shared as PPR is used to pay CE/ASCENT tuition charges and fits under the tuition or school transfer exceptions in FERPA.  Or consent can be used to permit data transfers under FERPA.</w:t>
      </w:r>
    </w:p>
    <w:p w:rsidR="005439A4" w:rsidRDefault="005439A4" w:rsidP="00FF7CBE">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Recommend LEPs have consent statement built into CE/ASCENT student application/agreement so that both student and parent(s) can sign.</w:t>
      </w:r>
      <w:r w:rsidR="00FF7CBE">
        <w:rPr>
          <w:rFonts w:ascii="Verdana" w:hAnsi="Verdana"/>
          <w:color w:val="000000" w:themeColor="text1"/>
          <w:sz w:val="20"/>
          <w:szCs w:val="20"/>
        </w:rPr>
        <w:t xml:space="preserve"> CDE will post a revised sample student application/agreement soon to </w:t>
      </w:r>
      <w:hyperlink r:id="rId9" w:history="1">
        <w:r w:rsidR="00FF7CBE" w:rsidRPr="00AB7401">
          <w:rPr>
            <w:rStyle w:val="Hyperlink"/>
            <w:rFonts w:ascii="Verdana" w:hAnsi="Verdana"/>
            <w:sz w:val="20"/>
            <w:szCs w:val="20"/>
          </w:rPr>
          <w:t>http://www.cde.state.co.us/postsecondary/ceformssampledocs</w:t>
        </w:r>
      </w:hyperlink>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 xml:space="preserve">Secure file sharing programs – Syncplicity is a secure program because the program provider cannot access CDE’s data, only CDE and those given access can.  Data transferred in Syncplicity is encrypted and Syncplicity does not have the encryption keys.  The documents are stored inside CDE’s data center. Google Docs is not as secure of a program because data can be accessed by Google.  SFTP is o.k. but is expensive. Carefully check security and privacy practices and policies of products that you purchase. </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Password protected email or documents is an option = requires separate step to send password in a separate process (phone, instant message).  It’s less secure to send the password via email but if that’s the only option, send it in a separate email.</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CDE obtained budget approval to provide Syncplicity (or a similar tool) for use by all LEPs; however, this will take some time to roll out.</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Don’t load PII on unencrypted flash drives.  Encrypted flash drives are acceptable.</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CCCS is looking into a data sharing product.</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FERPA &amp; SDTSA say you must provide reasonable security of PII. Encrypting data is a best practice and is very important.  However, encryption is not specifically required by any law.</w:t>
      </w:r>
    </w:p>
    <w:p w:rsidR="005439A4"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Under the new state law, data that is encrypted and cannot be decrypted is safe and will not require breach notification</w:t>
      </w:r>
      <w:r w:rsidR="00502009">
        <w:rPr>
          <w:rFonts w:ascii="Verdana" w:hAnsi="Verdana"/>
          <w:color w:val="000000" w:themeColor="text1"/>
          <w:sz w:val="20"/>
          <w:szCs w:val="20"/>
        </w:rPr>
        <w:t xml:space="preserve"> (notification </w:t>
      </w:r>
      <w:r w:rsidR="00502009">
        <w:rPr>
          <w:rFonts w:ascii="Verdana" w:hAnsi="Verdana"/>
          <w:color w:val="000000"/>
          <w:sz w:val="20"/>
          <w:szCs w:val="20"/>
        </w:rPr>
        <w:t>that businesses/agencies are required to send to their customers if/when data bases have been hacked/breached)</w:t>
      </w:r>
      <w:r w:rsidRPr="005439A4">
        <w:rPr>
          <w:rFonts w:ascii="Verdana" w:hAnsi="Verdana"/>
          <w:color w:val="000000" w:themeColor="text1"/>
          <w:sz w:val="20"/>
          <w:szCs w:val="20"/>
        </w:rPr>
        <w:t>. Should not transfer PII via unencrypted formats such as email.  Search online for various solutions for encrypting data that work with your software and systems.</w:t>
      </w:r>
    </w:p>
    <w:p w:rsidR="00594ED1" w:rsidRPr="005439A4" w:rsidRDefault="005439A4" w:rsidP="005439A4">
      <w:pPr>
        <w:pStyle w:val="ListParagraph"/>
        <w:numPr>
          <w:ilvl w:val="0"/>
          <w:numId w:val="11"/>
        </w:numPr>
        <w:spacing w:after="0" w:line="240" w:lineRule="auto"/>
        <w:rPr>
          <w:rFonts w:ascii="Verdana" w:hAnsi="Verdana"/>
          <w:color w:val="000000" w:themeColor="text1"/>
          <w:sz w:val="20"/>
          <w:szCs w:val="20"/>
        </w:rPr>
      </w:pPr>
      <w:r w:rsidRPr="005439A4">
        <w:rPr>
          <w:rFonts w:ascii="Verdana" w:hAnsi="Verdana"/>
          <w:color w:val="000000" w:themeColor="text1"/>
          <w:sz w:val="20"/>
          <w:szCs w:val="20"/>
        </w:rPr>
        <w:t>LEPs and IHEs should determine how sensitive the data is that is being shared = risk management and evaluation</w:t>
      </w:r>
    </w:p>
    <w:p w:rsidR="0027500D" w:rsidRDefault="0027500D" w:rsidP="005439A4">
      <w:pPr>
        <w:pBdr>
          <w:top w:val="nil"/>
          <w:left w:val="nil"/>
          <w:bottom w:val="nil"/>
          <w:right w:val="nil"/>
          <w:between w:val="nil"/>
        </w:pBdr>
        <w:tabs>
          <w:tab w:val="left" w:pos="810"/>
        </w:tabs>
        <w:spacing w:after="0" w:line="240" w:lineRule="auto"/>
        <w:ind w:left="1440"/>
        <w:contextualSpacing/>
        <w:rPr>
          <w:rFonts w:ascii="Verdana" w:eastAsia="Verdana" w:hAnsi="Verdana" w:cs="Verdana"/>
          <w:b/>
          <w:sz w:val="20"/>
          <w:szCs w:val="20"/>
        </w:rPr>
      </w:pPr>
    </w:p>
    <w:p w:rsidR="00DF4D2C" w:rsidRDefault="00DF4D2C" w:rsidP="005439A4">
      <w:pPr>
        <w:pBdr>
          <w:top w:val="nil"/>
          <w:left w:val="nil"/>
          <w:bottom w:val="nil"/>
          <w:right w:val="nil"/>
          <w:between w:val="nil"/>
        </w:pBdr>
        <w:tabs>
          <w:tab w:val="left" w:pos="810"/>
        </w:tabs>
        <w:spacing w:after="0" w:line="240" w:lineRule="auto"/>
        <w:ind w:left="1440"/>
        <w:contextualSpacing/>
        <w:rPr>
          <w:rFonts w:ascii="Verdana" w:eastAsia="Verdana" w:hAnsi="Verdana" w:cs="Verdana"/>
          <w:b/>
          <w:sz w:val="20"/>
          <w:szCs w:val="20"/>
        </w:rPr>
      </w:pPr>
    </w:p>
    <w:p w:rsidR="00DF4D2C" w:rsidRDefault="00DF4D2C" w:rsidP="005439A4">
      <w:pPr>
        <w:pBdr>
          <w:top w:val="nil"/>
          <w:left w:val="nil"/>
          <w:bottom w:val="nil"/>
          <w:right w:val="nil"/>
          <w:between w:val="nil"/>
        </w:pBdr>
        <w:tabs>
          <w:tab w:val="left" w:pos="810"/>
        </w:tabs>
        <w:spacing w:after="0" w:line="240" w:lineRule="auto"/>
        <w:ind w:left="1440"/>
        <w:contextualSpacing/>
        <w:rPr>
          <w:rFonts w:ascii="Verdana" w:eastAsia="Verdana" w:hAnsi="Verdana" w:cs="Verdana"/>
          <w:b/>
          <w:sz w:val="20"/>
          <w:szCs w:val="20"/>
        </w:rPr>
      </w:pPr>
    </w:p>
    <w:p w:rsidR="00DF4D2C" w:rsidRPr="009F2986" w:rsidRDefault="00DF4D2C" w:rsidP="005439A4">
      <w:pPr>
        <w:pBdr>
          <w:top w:val="nil"/>
          <w:left w:val="nil"/>
          <w:bottom w:val="nil"/>
          <w:right w:val="nil"/>
          <w:between w:val="nil"/>
        </w:pBdr>
        <w:tabs>
          <w:tab w:val="left" w:pos="810"/>
        </w:tabs>
        <w:spacing w:after="0" w:line="240" w:lineRule="auto"/>
        <w:ind w:left="1440"/>
        <w:contextualSpacing/>
        <w:rPr>
          <w:rFonts w:ascii="Verdana" w:eastAsia="Verdana" w:hAnsi="Verdana" w:cs="Verdana"/>
          <w:b/>
          <w:sz w:val="20"/>
          <w:szCs w:val="20"/>
        </w:rPr>
      </w:pPr>
    </w:p>
    <w:p w:rsidR="009F2986" w:rsidRDefault="009F2986" w:rsidP="009F2986">
      <w:pPr>
        <w:pBdr>
          <w:top w:val="nil"/>
          <w:left w:val="nil"/>
          <w:bottom w:val="nil"/>
          <w:right w:val="nil"/>
          <w:between w:val="nil"/>
        </w:pBdr>
        <w:tabs>
          <w:tab w:val="left" w:pos="810"/>
        </w:tabs>
        <w:spacing w:after="0" w:line="240" w:lineRule="auto"/>
        <w:ind w:left="1440"/>
        <w:contextualSpacing/>
        <w:rPr>
          <w:rFonts w:ascii="Verdana" w:eastAsia="Verdana" w:hAnsi="Verdana" w:cs="Verdana"/>
          <w:b/>
          <w:sz w:val="20"/>
          <w:szCs w:val="20"/>
        </w:rPr>
      </w:pPr>
    </w:p>
    <w:p w:rsidR="008E08E1" w:rsidRDefault="00ED5781">
      <w:pPr>
        <w:tabs>
          <w:tab w:val="left" w:pos="810"/>
        </w:tabs>
        <w:spacing w:after="0" w:line="240" w:lineRule="auto"/>
        <w:rPr>
          <w:rFonts w:ascii="Verdana" w:eastAsia="Verdana" w:hAnsi="Verdana" w:cs="Verdana"/>
          <w:b/>
          <w:sz w:val="20"/>
          <w:szCs w:val="20"/>
        </w:rPr>
      </w:pPr>
      <w:r>
        <w:rPr>
          <w:rFonts w:ascii="Verdana" w:eastAsia="Verdana" w:hAnsi="Verdana" w:cs="Verdana"/>
          <w:b/>
          <w:sz w:val="20"/>
          <w:szCs w:val="20"/>
        </w:rPr>
        <w:t xml:space="preserve">CDHE Updates - </w:t>
      </w:r>
      <w:r>
        <w:rPr>
          <w:rFonts w:ascii="Verdana" w:eastAsia="Verdana" w:hAnsi="Verdana" w:cs="Verdana"/>
          <w:i/>
          <w:color w:val="000000"/>
          <w:sz w:val="20"/>
          <w:szCs w:val="20"/>
        </w:rPr>
        <w:t>Carl Einhaus</w:t>
      </w:r>
      <w:r w:rsidR="001B1377">
        <w:rPr>
          <w:rFonts w:ascii="Verdana" w:eastAsia="Verdana" w:hAnsi="Verdana" w:cs="Verdana"/>
          <w:b/>
          <w:sz w:val="20"/>
          <w:szCs w:val="20"/>
        </w:rPr>
        <w:tab/>
      </w:r>
      <w:r w:rsidR="001B1377">
        <w:rPr>
          <w:rFonts w:ascii="Verdana" w:eastAsia="Verdana" w:hAnsi="Verdana" w:cs="Verdana"/>
          <w:b/>
          <w:sz w:val="20"/>
          <w:szCs w:val="20"/>
        </w:rPr>
        <w:tab/>
      </w:r>
      <w:r w:rsidR="001B1377">
        <w:rPr>
          <w:rFonts w:ascii="Verdana" w:eastAsia="Verdana" w:hAnsi="Verdana" w:cs="Verdana"/>
          <w:b/>
          <w:sz w:val="20"/>
          <w:szCs w:val="20"/>
        </w:rPr>
        <w:tab/>
      </w:r>
      <w:r w:rsidR="001B1377">
        <w:rPr>
          <w:rFonts w:ascii="Verdana" w:eastAsia="Verdana" w:hAnsi="Verdana" w:cs="Verdana"/>
          <w:b/>
          <w:sz w:val="20"/>
          <w:szCs w:val="20"/>
        </w:rPr>
        <w:tab/>
      </w:r>
      <w:r w:rsidR="001B1377">
        <w:rPr>
          <w:rFonts w:ascii="Verdana" w:eastAsia="Verdana" w:hAnsi="Verdana" w:cs="Verdana"/>
          <w:b/>
          <w:sz w:val="20"/>
          <w:szCs w:val="20"/>
        </w:rPr>
        <w:tab/>
      </w:r>
      <w:r w:rsidR="001B1377">
        <w:rPr>
          <w:rFonts w:ascii="Verdana" w:eastAsia="Verdana" w:hAnsi="Verdana" w:cs="Verdana"/>
          <w:b/>
          <w:sz w:val="20"/>
          <w:szCs w:val="20"/>
        </w:rPr>
        <w:tab/>
      </w:r>
      <w:r w:rsidR="001B1377">
        <w:rPr>
          <w:rFonts w:ascii="Verdana" w:eastAsia="Verdana" w:hAnsi="Verdana" w:cs="Verdana"/>
          <w:b/>
          <w:sz w:val="20"/>
          <w:szCs w:val="20"/>
        </w:rPr>
        <w:tab/>
      </w:r>
      <w:r w:rsidR="001B1377">
        <w:rPr>
          <w:rFonts w:ascii="Verdana" w:eastAsia="Verdana" w:hAnsi="Verdana" w:cs="Verdana"/>
          <w:b/>
          <w:sz w:val="20"/>
          <w:szCs w:val="20"/>
        </w:rPr>
        <w:tab/>
      </w:r>
    </w:p>
    <w:p w:rsidR="008E08E1" w:rsidRDefault="008E08E1">
      <w:pPr>
        <w:tabs>
          <w:tab w:val="left" w:pos="810"/>
        </w:tabs>
        <w:spacing w:after="0" w:line="240" w:lineRule="auto"/>
        <w:rPr>
          <w:rFonts w:ascii="Verdana" w:eastAsia="Verdana" w:hAnsi="Verdana" w:cs="Verdana"/>
          <w:sz w:val="20"/>
          <w:szCs w:val="20"/>
        </w:rPr>
      </w:pPr>
    </w:p>
    <w:p w:rsidR="008E08E1" w:rsidRPr="004F26A3" w:rsidRDefault="001B1377">
      <w:pPr>
        <w:numPr>
          <w:ilvl w:val="0"/>
          <w:numId w:val="8"/>
        </w:numPr>
        <w:pBdr>
          <w:top w:val="nil"/>
          <w:left w:val="nil"/>
          <w:bottom w:val="nil"/>
          <w:right w:val="nil"/>
          <w:between w:val="nil"/>
        </w:pBdr>
        <w:tabs>
          <w:tab w:val="left" w:pos="810"/>
        </w:tabs>
        <w:spacing w:after="0" w:line="240" w:lineRule="auto"/>
        <w:contextualSpacing/>
        <w:rPr>
          <w:rFonts w:ascii="Verdana" w:hAnsi="Verdana"/>
          <w:color w:val="000000"/>
          <w:sz w:val="20"/>
          <w:szCs w:val="20"/>
        </w:rPr>
      </w:pPr>
      <w:r w:rsidRPr="004F26A3">
        <w:rPr>
          <w:rFonts w:ascii="Verdana" w:hAnsi="Verdana"/>
          <w:color w:val="000000"/>
          <w:sz w:val="20"/>
          <w:szCs w:val="20"/>
        </w:rPr>
        <w:t>CCHE approved C</w:t>
      </w:r>
      <w:r w:rsidR="00ED5781">
        <w:rPr>
          <w:rFonts w:ascii="Verdana" w:hAnsi="Verdana"/>
          <w:color w:val="000000"/>
          <w:sz w:val="20"/>
          <w:szCs w:val="20"/>
        </w:rPr>
        <w:t xml:space="preserve">oncurrent </w:t>
      </w:r>
      <w:r w:rsidRPr="004F26A3">
        <w:rPr>
          <w:rFonts w:ascii="Verdana" w:hAnsi="Verdana"/>
          <w:color w:val="000000"/>
          <w:sz w:val="20"/>
          <w:szCs w:val="20"/>
        </w:rPr>
        <w:t>E</w:t>
      </w:r>
      <w:r w:rsidR="00ED5781">
        <w:rPr>
          <w:rFonts w:ascii="Verdana" w:hAnsi="Verdana"/>
          <w:color w:val="000000"/>
          <w:sz w:val="20"/>
          <w:szCs w:val="20"/>
        </w:rPr>
        <w:t>nrollment</w:t>
      </w:r>
      <w:r w:rsidRPr="004F26A3">
        <w:rPr>
          <w:rFonts w:ascii="Verdana" w:hAnsi="Verdana"/>
          <w:color w:val="000000"/>
          <w:sz w:val="20"/>
          <w:szCs w:val="20"/>
        </w:rPr>
        <w:t xml:space="preserve"> Service Area Waiver Form - </w:t>
      </w:r>
      <w:r w:rsidR="00ED5781" w:rsidRPr="00ED5781">
        <w:rPr>
          <w:rFonts w:ascii="Verdana" w:hAnsi="Verdana"/>
          <w:color w:val="000000"/>
          <w:sz w:val="20"/>
          <w:szCs w:val="20"/>
        </w:rPr>
        <w:t>Go to</w:t>
      </w:r>
      <w:r w:rsidR="00ED5781">
        <w:rPr>
          <w:rFonts w:ascii="Verdana" w:hAnsi="Verdana"/>
          <w:b/>
          <w:color w:val="000000"/>
          <w:sz w:val="20"/>
          <w:szCs w:val="20"/>
        </w:rPr>
        <w:t xml:space="preserve"> </w:t>
      </w:r>
      <w:hyperlink r:id="rId10" w:history="1">
        <w:r w:rsidR="00F843DC" w:rsidRPr="004F26A3">
          <w:rPr>
            <w:rStyle w:val="Hyperlink"/>
            <w:rFonts w:ascii="Verdana" w:hAnsi="Verdana"/>
            <w:sz w:val="20"/>
            <w:szCs w:val="20"/>
          </w:rPr>
          <w:t>https://highered.colorado.gov/Academics/Concurrent/</w:t>
        </w:r>
      </w:hyperlink>
      <w:r w:rsidR="00F843DC" w:rsidRPr="004F26A3">
        <w:rPr>
          <w:rFonts w:ascii="Verdana" w:hAnsi="Verdana"/>
          <w:b/>
          <w:color w:val="000000"/>
          <w:sz w:val="20"/>
          <w:szCs w:val="20"/>
        </w:rPr>
        <w:t xml:space="preserve"> </w:t>
      </w:r>
      <w:r w:rsidR="00F843DC" w:rsidRPr="004F26A3">
        <w:rPr>
          <w:rFonts w:ascii="Verdana" w:hAnsi="Verdana"/>
          <w:color w:val="000000"/>
          <w:sz w:val="20"/>
          <w:szCs w:val="20"/>
        </w:rPr>
        <w:t xml:space="preserve">for </w:t>
      </w:r>
      <w:r w:rsidR="00ED5781">
        <w:rPr>
          <w:rFonts w:ascii="Verdana" w:hAnsi="Verdana"/>
          <w:color w:val="000000"/>
          <w:sz w:val="20"/>
          <w:szCs w:val="20"/>
        </w:rPr>
        <w:t xml:space="preserve">the </w:t>
      </w:r>
      <w:r w:rsidR="00F843DC" w:rsidRPr="004F26A3">
        <w:rPr>
          <w:rFonts w:ascii="Verdana" w:hAnsi="Verdana"/>
          <w:color w:val="000000"/>
          <w:sz w:val="20"/>
          <w:szCs w:val="20"/>
        </w:rPr>
        <w:t>policy and form.</w:t>
      </w:r>
    </w:p>
    <w:p w:rsidR="008E08E1" w:rsidRPr="004F26A3" w:rsidRDefault="00BD2B57">
      <w:pPr>
        <w:numPr>
          <w:ilvl w:val="1"/>
          <w:numId w:val="8"/>
        </w:numPr>
        <w:pBdr>
          <w:top w:val="nil"/>
          <w:left w:val="nil"/>
          <w:bottom w:val="nil"/>
          <w:right w:val="nil"/>
          <w:between w:val="nil"/>
        </w:pBdr>
        <w:tabs>
          <w:tab w:val="left" w:pos="810"/>
        </w:tabs>
        <w:spacing w:after="0" w:line="240" w:lineRule="auto"/>
        <w:contextualSpacing/>
        <w:rPr>
          <w:rFonts w:ascii="Verdana" w:hAnsi="Verdana"/>
          <w:sz w:val="20"/>
          <w:szCs w:val="20"/>
        </w:rPr>
      </w:pPr>
      <w:r w:rsidRPr="00BD2B57">
        <w:rPr>
          <w:rFonts w:ascii="Verdana" w:hAnsi="Verdana"/>
          <w:sz w:val="20"/>
          <w:szCs w:val="20"/>
        </w:rPr>
        <w:t>This legislation mainly clarifies the process to request a service area waiver; and does not address issues like differences in interpretation of CE teacher certification or course prerequisite requirements between different IHEs</w:t>
      </w:r>
      <w:r>
        <w:rPr>
          <w:rFonts w:ascii="Verdana" w:hAnsi="Verdana"/>
          <w:sz w:val="20"/>
          <w:szCs w:val="20"/>
        </w:rPr>
        <w:t>.</w:t>
      </w:r>
      <w:r w:rsidR="001B1377" w:rsidRPr="004F26A3">
        <w:rPr>
          <w:rFonts w:ascii="Verdana" w:hAnsi="Verdana"/>
          <w:sz w:val="20"/>
          <w:szCs w:val="20"/>
        </w:rPr>
        <w:t xml:space="preserve"> </w:t>
      </w:r>
      <w:r w:rsidR="001B1377" w:rsidRPr="004F26A3">
        <w:rPr>
          <w:rFonts w:ascii="Verdana" w:hAnsi="Verdana"/>
          <w:sz w:val="20"/>
          <w:szCs w:val="20"/>
          <w:u w:val="single"/>
        </w:rPr>
        <w:t xml:space="preserve"> </w:t>
      </w:r>
    </w:p>
    <w:p w:rsidR="00945577" w:rsidRDefault="001B1377" w:rsidP="005625E9">
      <w:pPr>
        <w:numPr>
          <w:ilvl w:val="1"/>
          <w:numId w:val="8"/>
        </w:numPr>
        <w:pBdr>
          <w:top w:val="nil"/>
          <w:left w:val="nil"/>
          <w:bottom w:val="nil"/>
          <w:right w:val="nil"/>
          <w:between w:val="nil"/>
        </w:pBdr>
        <w:tabs>
          <w:tab w:val="left" w:pos="810"/>
        </w:tabs>
        <w:spacing w:after="0" w:line="240" w:lineRule="auto"/>
        <w:contextualSpacing/>
        <w:rPr>
          <w:rFonts w:ascii="Verdana" w:hAnsi="Verdana"/>
          <w:sz w:val="20"/>
          <w:szCs w:val="20"/>
        </w:rPr>
      </w:pPr>
      <w:r w:rsidRPr="00FF6614">
        <w:rPr>
          <w:rFonts w:ascii="Verdana" w:hAnsi="Verdana"/>
          <w:sz w:val="20"/>
          <w:szCs w:val="20"/>
        </w:rPr>
        <w:t xml:space="preserve">Applies to all IHEs with a 2-year </w:t>
      </w:r>
      <w:r w:rsidR="00FF6614" w:rsidRPr="00FF6614">
        <w:rPr>
          <w:rFonts w:ascii="Verdana" w:hAnsi="Verdana"/>
          <w:sz w:val="20"/>
          <w:szCs w:val="20"/>
        </w:rPr>
        <w:t>mission (including 4-year IHE’s that offer</w:t>
      </w:r>
      <w:r w:rsidRPr="00FF6614">
        <w:rPr>
          <w:rFonts w:ascii="Verdana" w:hAnsi="Verdana"/>
          <w:sz w:val="20"/>
          <w:szCs w:val="20"/>
        </w:rPr>
        <w:t xml:space="preserve"> 2-year Associate degrees.</w:t>
      </w:r>
    </w:p>
    <w:p w:rsidR="008E08E1" w:rsidRPr="00945577" w:rsidRDefault="001B1377" w:rsidP="005625E9">
      <w:pPr>
        <w:numPr>
          <w:ilvl w:val="1"/>
          <w:numId w:val="8"/>
        </w:numPr>
        <w:pBdr>
          <w:top w:val="nil"/>
          <w:left w:val="nil"/>
          <w:bottom w:val="nil"/>
          <w:right w:val="nil"/>
          <w:between w:val="nil"/>
        </w:pBdr>
        <w:tabs>
          <w:tab w:val="left" w:pos="810"/>
        </w:tabs>
        <w:spacing w:after="0" w:line="240" w:lineRule="auto"/>
        <w:contextualSpacing/>
        <w:rPr>
          <w:rFonts w:ascii="Verdana" w:hAnsi="Verdana"/>
          <w:sz w:val="20"/>
          <w:szCs w:val="20"/>
        </w:rPr>
      </w:pPr>
      <w:r w:rsidRPr="00945577">
        <w:rPr>
          <w:rFonts w:ascii="Verdana" w:hAnsi="Verdana"/>
          <w:sz w:val="20"/>
          <w:szCs w:val="20"/>
        </w:rPr>
        <w:t>Te</w:t>
      </w:r>
      <w:r w:rsidR="00422E3A" w:rsidRPr="00945577">
        <w:rPr>
          <w:rFonts w:ascii="Verdana" w:hAnsi="Verdana"/>
          <w:sz w:val="20"/>
          <w:szCs w:val="20"/>
        </w:rPr>
        <w:t>sted Experience is considered by HLC for CE and CTE instructor certification.</w:t>
      </w:r>
      <w:r w:rsidR="004E5328" w:rsidRPr="00945577">
        <w:rPr>
          <w:rFonts w:ascii="Verdana" w:hAnsi="Verdana"/>
          <w:sz w:val="20"/>
          <w:szCs w:val="20"/>
        </w:rPr>
        <w:t xml:space="preserve"> IHE’s must have a clear policy that they follow for tested experience.</w:t>
      </w:r>
      <w:r w:rsidR="005625E9" w:rsidRPr="00945577">
        <w:rPr>
          <w:rFonts w:ascii="Verdana" w:hAnsi="Verdana"/>
          <w:sz w:val="20"/>
          <w:szCs w:val="20"/>
        </w:rPr>
        <w:t xml:space="preserve">  See </w:t>
      </w:r>
      <w:hyperlink r:id="rId11" w:history="1">
        <w:r w:rsidR="005625E9" w:rsidRPr="00945577">
          <w:rPr>
            <w:rStyle w:val="Hyperlink"/>
            <w:rFonts w:ascii="Verdana" w:hAnsi="Verdana"/>
            <w:sz w:val="20"/>
            <w:szCs w:val="20"/>
          </w:rPr>
          <w:t>Higher Learning Commission Guidelines Determining Qualified Faculty Through HLC’s Criteria for Accreditation and Assumed Practices</w:t>
        </w:r>
      </w:hyperlink>
      <w:r w:rsidR="005625E9" w:rsidRPr="00945577">
        <w:rPr>
          <w:rFonts w:ascii="Verdana" w:hAnsi="Verdana"/>
          <w:color w:val="000000" w:themeColor="text1"/>
          <w:sz w:val="20"/>
          <w:szCs w:val="20"/>
        </w:rPr>
        <w:t xml:space="preserve"> document.</w:t>
      </w:r>
    </w:p>
    <w:p w:rsidR="00945577" w:rsidRPr="00945577" w:rsidRDefault="00945577" w:rsidP="005625E9">
      <w:pPr>
        <w:numPr>
          <w:ilvl w:val="1"/>
          <w:numId w:val="8"/>
        </w:numPr>
        <w:pBdr>
          <w:top w:val="nil"/>
          <w:left w:val="nil"/>
          <w:bottom w:val="nil"/>
          <w:right w:val="nil"/>
          <w:between w:val="nil"/>
        </w:pBdr>
        <w:tabs>
          <w:tab w:val="left" w:pos="810"/>
        </w:tabs>
        <w:spacing w:after="0" w:line="240" w:lineRule="auto"/>
        <w:contextualSpacing/>
        <w:rPr>
          <w:rFonts w:ascii="Verdana" w:hAnsi="Verdana"/>
          <w:sz w:val="20"/>
          <w:szCs w:val="20"/>
        </w:rPr>
      </w:pPr>
      <w:r>
        <w:rPr>
          <w:rFonts w:ascii="Verdana" w:hAnsi="Verdana"/>
          <w:sz w:val="20"/>
          <w:szCs w:val="20"/>
        </w:rPr>
        <w:t xml:space="preserve">Disparities </w:t>
      </w:r>
      <w:r w:rsidR="003966AD">
        <w:rPr>
          <w:rFonts w:ascii="Verdana" w:hAnsi="Verdana"/>
          <w:sz w:val="20"/>
          <w:szCs w:val="20"/>
        </w:rPr>
        <w:t>in</w:t>
      </w:r>
      <w:r>
        <w:rPr>
          <w:rFonts w:ascii="Verdana" w:hAnsi="Verdana"/>
          <w:sz w:val="20"/>
          <w:szCs w:val="20"/>
        </w:rPr>
        <w:t xml:space="preserve"> dollar reimbursement models between IHEs is being looked at.</w:t>
      </w:r>
    </w:p>
    <w:p w:rsidR="008E08E1" w:rsidRPr="003E0753" w:rsidRDefault="003E0753">
      <w:pPr>
        <w:numPr>
          <w:ilvl w:val="0"/>
          <w:numId w:val="8"/>
        </w:numPr>
        <w:pBdr>
          <w:top w:val="nil"/>
          <w:left w:val="nil"/>
          <w:bottom w:val="nil"/>
          <w:right w:val="nil"/>
          <w:between w:val="nil"/>
        </w:pBdr>
        <w:tabs>
          <w:tab w:val="left" w:pos="810"/>
        </w:tabs>
        <w:spacing w:after="0" w:line="240" w:lineRule="auto"/>
        <w:contextualSpacing/>
        <w:rPr>
          <w:rFonts w:ascii="Verdana" w:hAnsi="Verdana"/>
          <w:color w:val="000000"/>
          <w:sz w:val="20"/>
          <w:szCs w:val="20"/>
        </w:rPr>
      </w:pPr>
      <w:r w:rsidRPr="003E0753">
        <w:rPr>
          <w:rFonts w:ascii="Verdana" w:hAnsi="Verdana"/>
          <w:sz w:val="20"/>
          <w:szCs w:val="20"/>
        </w:rPr>
        <w:t xml:space="preserve">Research reports sponsored by DHE - </w:t>
      </w:r>
      <w:r w:rsidR="001B1377" w:rsidRPr="003E0753">
        <w:rPr>
          <w:rFonts w:ascii="Verdana" w:hAnsi="Verdana"/>
          <w:sz w:val="20"/>
          <w:szCs w:val="20"/>
        </w:rPr>
        <w:t>Michael Vente will present at NACEP conference</w:t>
      </w:r>
      <w:r w:rsidRPr="003E0753">
        <w:rPr>
          <w:rFonts w:ascii="Verdana" w:hAnsi="Verdana"/>
          <w:sz w:val="20"/>
          <w:szCs w:val="20"/>
        </w:rPr>
        <w:t xml:space="preserve"> in early November. No statistical difference regarding student outcome and </w:t>
      </w:r>
      <w:r w:rsidR="001B1377" w:rsidRPr="003E0753">
        <w:rPr>
          <w:rFonts w:ascii="Verdana" w:hAnsi="Verdana"/>
          <w:sz w:val="20"/>
          <w:szCs w:val="20"/>
        </w:rPr>
        <w:t>based on location of course (i.e. taken at high school or on college campus)</w:t>
      </w:r>
      <w:r>
        <w:rPr>
          <w:rFonts w:ascii="Verdana" w:hAnsi="Verdana"/>
          <w:sz w:val="20"/>
          <w:szCs w:val="20"/>
        </w:rPr>
        <w:t>.</w:t>
      </w:r>
    </w:p>
    <w:p w:rsidR="008E08E1" w:rsidRPr="00D31C13" w:rsidRDefault="00D31C13">
      <w:pPr>
        <w:numPr>
          <w:ilvl w:val="0"/>
          <w:numId w:val="8"/>
        </w:numPr>
        <w:pBdr>
          <w:top w:val="nil"/>
          <w:left w:val="nil"/>
          <w:bottom w:val="nil"/>
          <w:right w:val="nil"/>
          <w:between w:val="nil"/>
        </w:pBdr>
        <w:tabs>
          <w:tab w:val="left" w:pos="810"/>
        </w:tabs>
        <w:spacing w:after="0" w:line="240" w:lineRule="auto"/>
        <w:contextualSpacing/>
        <w:rPr>
          <w:rFonts w:ascii="Verdana" w:hAnsi="Verdana"/>
          <w:sz w:val="20"/>
          <w:szCs w:val="20"/>
        </w:rPr>
      </w:pPr>
      <w:r w:rsidRPr="00D31C13">
        <w:rPr>
          <w:rFonts w:ascii="Verdana" w:hAnsi="Verdana"/>
          <w:sz w:val="20"/>
          <w:szCs w:val="20"/>
        </w:rPr>
        <w:t xml:space="preserve">Next Gen Accuplacer </w:t>
      </w:r>
      <w:r w:rsidR="001B1377" w:rsidRPr="00D31C13">
        <w:rPr>
          <w:rFonts w:ascii="Verdana" w:hAnsi="Verdana"/>
          <w:sz w:val="20"/>
          <w:szCs w:val="20"/>
        </w:rPr>
        <w:t>scores were approved by CCHE</w:t>
      </w:r>
      <w:r w:rsidRPr="00D31C13">
        <w:rPr>
          <w:rFonts w:ascii="Verdana" w:hAnsi="Verdana"/>
          <w:sz w:val="20"/>
          <w:szCs w:val="20"/>
        </w:rPr>
        <w:t xml:space="preserve"> – posted on DHE webpage under Developmental Education Policy.</w:t>
      </w:r>
      <w:r w:rsidR="00872C75">
        <w:rPr>
          <w:rFonts w:ascii="Verdana" w:hAnsi="Verdana"/>
          <w:sz w:val="20"/>
          <w:szCs w:val="20"/>
        </w:rPr>
        <w:t xml:space="preserve">  CDE is looking into the impact of these scores on Graduation Guidelines.</w:t>
      </w:r>
    </w:p>
    <w:p w:rsidR="008E08E1" w:rsidRPr="004F26A3" w:rsidRDefault="008E08E1">
      <w:pPr>
        <w:tabs>
          <w:tab w:val="left" w:pos="810"/>
        </w:tabs>
        <w:spacing w:after="0" w:line="240" w:lineRule="auto"/>
        <w:rPr>
          <w:rFonts w:ascii="Verdana" w:eastAsia="Verdana" w:hAnsi="Verdana" w:cs="Verdana"/>
          <w:b/>
          <w:sz w:val="20"/>
          <w:szCs w:val="20"/>
        </w:rPr>
      </w:pPr>
    </w:p>
    <w:p w:rsidR="00FD51EB" w:rsidRDefault="001B1377" w:rsidP="00FD51EB">
      <w:pPr>
        <w:pStyle w:val="ListParagraph"/>
        <w:numPr>
          <w:ilvl w:val="0"/>
          <w:numId w:val="13"/>
        </w:numPr>
        <w:tabs>
          <w:tab w:val="left" w:pos="810"/>
        </w:tabs>
        <w:spacing w:after="0" w:line="240" w:lineRule="auto"/>
        <w:rPr>
          <w:rFonts w:ascii="Verdana" w:eastAsia="Verdana" w:hAnsi="Verdana" w:cs="Verdana"/>
          <w:sz w:val="20"/>
          <w:szCs w:val="20"/>
        </w:rPr>
      </w:pPr>
      <w:r w:rsidRPr="00945577">
        <w:rPr>
          <w:rFonts w:ascii="Verdana" w:eastAsia="Verdana" w:hAnsi="Verdana" w:cs="Verdana"/>
          <w:b/>
          <w:sz w:val="20"/>
          <w:szCs w:val="20"/>
        </w:rPr>
        <w:t xml:space="preserve">ASCENT Allocation Model review </w:t>
      </w:r>
      <w:r w:rsidRPr="00945577">
        <w:rPr>
          <w:rFonts w:ascii="Verdana" w:eastAsia="Verdana" w:hAnsi="Verdana" w:cs="Verdana"/>
          <w:sz w:val="20"/>
          <w:szCs w:val="20"/>
        </w:rPr>
        <w:t>–</w:t>
      </w:r>
      <w:r w:rsidR="00FD51EB">
        <w:rPr>
          <w:rFonts w:ascii="Verdana" w:eastAsia="Verdana" w:hAnsi="Verdana" w:cs="Verdana"/>
          <w:sz w:val="20"/>
          <w:szCs w:val="20"/>
        </w:rPr>
        <w:t xml:space="preserve"> CEAB was asked to review the current allocation model. See this meeting’s PowerPoint presentation for 2018-19 slot demand numbers and allocation process at </w:t>
      </w:r>
      <w:hyperlink r:id="rId12" w:history="1">
        <w:r w:rsidR="00FD51EB" w:rsidRPr="00DE3378">
          <w:rPr>
            <w:rStyle w:val="Hyperlink"/>
            <w:rFonts w:ascii="Verdana" w:eastAsia="Verdana" w:hAnsi="Verdana" w:cs="Verdana"/>
            <w:sz w:val="20"/>
            <w:szCs w:val="20"/>
          </w:rPr>
          <w:t>http://www.cde.state.co.us/postsecondary/ce_boardmeetings</w:t>
        </w:r>
      </w:hyperlink>
    </w:p>
    <w:p w:rsidR="00FD51EB" w:rsidRDefault="00FD51EB" w:rsidP="00FD51EB">
      <w:pPr>
        <w:pStyle w:val="ListParagraph"/>
        <w:tabs>
          <w:tab w:val="left" w:pos="810"/>
        </w:tabs>
        <w:spacing w:after="0" w:line="240" w:lineRule="auto"/>
        <w:rPr>
          <w:rFonts w:ascii="Verdana" w:eastAsia="Verdana" w:hAnsi="Verdana" w:cs="Verdana"/>
          <w:sz w:val="20"/>
          <w:szCs w:val="20"/>
        </w:rPr>
      </w:pPr>
    </w:p>
    <w:p w:rsidR="008E08E1" w:rsidRDefault="00FD51EB" w:rsidP="00FD51EB">
      <w:pPr>
        <w:pStyle w:val="ListParagraph"/>
        <w:tabs>
          <w:tab w:val="left" w:pos="810"/>
        </w:tabs>
        <w:spacing w:after="0" w:line="240" w:lineRule="auto"/>
        <w:rPr>
          <w:rFonts w:ascii="Verdana" w:eastAsia="Verdana" w:hAnsi="Verdana" w:cs="Verdana"/>
          <w:color w:val="000000"/>
          <w:sz w:val="20"/>
          <w:szCs w:val="20"/>
        </w:rPr>
      </w:pPr>
      <w:r>
        <w:rPr>
          <w:rFonts w:ascii="Verdana" w:eastAsia="Verdana" w:hAnsi="Verdana" w:cs="Verdana"/>
          <w:sz w:val="20"/>
          <w:szCs w:val="20"/>
        </w:rPr>
        <w:t xml:space="preserve">Motion motioned </w:t>
      </w:r>
      <w:r w:rsidRPr="00FD51EB">
        <w:rPr>
          <w:rFonts w:ascii="Verdana" w:eastAsia="Verdana" w:hAnsi="Verdana" w:cs="Verdana"/>
          <w:sz w:val="20"/>
          <w:szCs w:val="20"/>
        </w:rPr>
        <w:t>to create subcommittee to analyze current ASCENT formula for possible changes or to remain the same</w:t>
      </w:r>
      <w:r>
        <w:rPr>
          <w:rFonts w:ascii="Verdana" w:eastAsia="Verdana" w:hAnsi="Verdana" w:cs="Verdana"/>
          <w:sz w:val="20"/>
          <w:szCs w:val="20"/>
        </w:rPr>
        <w:t xml:space="preserve"> was made by </w:t>
      </w:r>
      <w:r w:rsidRPr="00FD51EB">
        <w:rPr>
          <w:rFonts w:ascii="Verdana" w:eastAsia="Verdana" w:hAnsi="Verdana" w:cs="Verdana"/>
          <w:sz w:val="20"/>
          <w:szCs w:val="20"/>
        </w:rPr>
        <w:t>Tammy</w:t>
      </w:r>
      <w:r>
        <w:rPr>
          <w:rFonts w:ascii="Verdana" w:eastAsia="Verdana" w:hAnsi="Verdana" w:cs="Verdana"/>
          <w:sz w:val="20"/>
          <w:szCs w:val="20"/>
        </w:rPr>
        <w:t xml:space="preserve"> Ward</w:t>
      </w:r>
      <w:r w:rsidR="001B1377" w:rsidRPr="00FD51EB">
        <w:rPr>
          <w:rFonts w:ascii="Verdana" w:eastAsia="Verdana" w:hAnsi="Verdana" w:cs="Verdana"/>
          <w:sz w:val="20"/>
          <w:szCs w:val="20"/>
        </w:rPr>
        <w:t xml:space="preserve">; </w:t>
      </w:r>
      <w:r>
        <w:rPr>
          <w:rFonts w:ascii="Verdana" w:eastAsia="Verdana" w:hAnsi="Verdana" w:cs="Verdana"/>
          <w:sz w:val="20"/>
          <w:szCs w:val="20"/>
        </w:rPr>
        <w:t xml:space="preserve">second by </w:t>
      </w:r>
      <w:r w:rsidR="001B1377" w:rsidRPr="00FD51EB">
        <w:rPr>
          <w:rFonts w:ascii="Verdana" w:eastAsia="Verdana" w:hAnsi="Verdana" w:cs="Verdana"/>
          <w:sz w:val="20"/>
          <w:szCs w:val="20"/>
        </w:rPr>
        <w:t>Bobby</w:t>
      </w:r>
      <w:r>
        <w:rPr>
          <w:rFonts w:ascii="Verdana" w:eastAsia="Verdana" w:hAnsi="Verdana" w:cs="Verdana"/>
          <w:sz w:val="20"/>
          <w:szCs w:val="20"/>
        </w:rPr>
        <w:t xml:space="preserve"> Pace; approve. Members of subcommittee are </w:t>
      </w:r>
      <w:r w:rsidR="00945577" w:rsidRPr="00FD51EB">
        <w:rPr>
          <w:rFonts w:ascii="Verdana" w:eastAsia="Verdana" w:hAnsi="Verdana" w:cs="Verdana"/>
          <w:sz w:val="20"/>
          <w:szCs w:val="20"/>
        </w:rPr>
        <w:t>Tammy</w:t>
      </w:r>
      <w:r>
        <w:rPr>
          <w:rFonts w:ascii="Verdana" w:eastAsia="Verdana" w:hAnsi="Verdana" w:cs="Verdana"/>
          <w:sz w:val="20"/>
          <w:szCs w:val="20"/>
        </w:rPr>
        <w:t xml:space="preserve"> Ward</w:t>
      </w:r>
      <w:r w:rsidR="00945577" w:rsidRPr="00FD51EB">
        <w:rPr>
          <w:rFonts w:ascii="Verdana" w:eastAsia="Verdana" w:hAnsi="Verdana" w:cs="Verdana"/>
          <w:sz w:val="20"/>
          <w:szCs w:val="20"/>
        </w:rPr>
        <w:t>, Bobby</w:t>
      </w:r>
      <w:r>
        <w:rPr>
          <w:rFonts w:ascii="Verdana" w:eastAsia="Verdana" w:hAnsi="Verdana" w:cs="Verdana"/>
          <w:sz w:val="20"/>
          <w:szCs w:val="20"/>
        </w:rPr>
        <w:t xml:space="preserve"> Pace</w:t>
      </w:r>
      <w:r w:rsidR="00945577" w:rsidRPr="00FD51EB">
        <w:rPr>
          <w:rFonts w:ascii="Verdana" w:eastAsia="Verdana" w:hAnsi="Verdana" w:cs="Verdana"/>
          <w:sz w:val="20"/>
          <w:szCs w:val="20"/>
        </w:rPr>
        <w:t>, Kimberly</w:t>
      </w:r>
      <w:r>
        <w:rPr>
          <w:rFonts w:ascii="Verdana" w:eastAsia="Verdana" w:hAnsi="Verdana" w:cs="Verdana"/>
          <w:sz w:val="20"/>
          <w:szCs w:val="20"/>
        </w:rPr>
        <w:t xml:space="preserve"> Caplan, and</w:t>
      </w:r>
      <w:r w:rsidR="00945577" w:rsidRPr="00FD51EB">
        <w:rPr>
          <w:rFonts w:ascii="Verdana" w:eastAsia="Verdana" w:hAnsi="Verdana" w:cs="Verdana"/>
          <w:sz w:val="20"/>
          <w:szCs w:val="20"/>
        </w:rPr>
        <w:t xml:space="preserve"> Diana Za</w:t>
      </w:r>
      <w:r w:rsidR="001B1377" w:rsidRPr="00FD51EB">
        <w:rPr>
          <w:rFonts w:ascii="Verdana" w:eastAsia="Verdana" w:hAnsi="Verdana" w:cs="Verdana"/>
          <w:sz w:val="20"/>
          <w:szCs w:val="20"/>
        </w:rPr>
        <w:t>kham.</w:t>
      </w:r>
      <w:r>
        <w:rPr>
          <w:rFonts w:ascii="Verdana" w:eastAsia="Verdana" w:hAnsi="Verdana" w:cs="Verdana"/>
          <w:sz w:val="20"/>
          <w:szCs w:val="20"/>
        </w:rPr>
        <w:t xml:space="preserve"> The s</w:t>
      </w:r>
      <w:r w:rsidR="001B1377" w:rsidRPr="00FD51EB">
        <w:rPr>
          <w:rFonts w:ascii="Verdana" w:eastAsia="Verdana" w:hAnsi="Verdana" w:cs="Verdana"/>
          <w:color w:val="000000"/>
          <w:sz w:val="20"/>
          <w:szCs w:val="20"/>
        </w:rPr>
        <w:t xml:space="preserve">ubcommittee </w:t>
      </w:r>
      <w:r>
        <w:rPr>
          <w:rFonts w:ascii="Verdana" w:eastAsia="Verdana" w:hAnsi="Verdana" w:cs="Verdana"/>
          <w:color w:val="000000"/>
          <w:sz w:val="20"/>
          <w:szCs w:val="20"/>
        </w:rPr>
        <w:t>was asked to</w:t>
      </w:r>
      <w:r w:rsidR="001B1377" w:rsidRPr="00FD51EB">
        <w:rPr>
          <w:rFonts w:ascii="Verdana" w:eastAsia="Verdana" w:hAnsi="Verdana" w:cs="Verdana"/>
          <w:color w:val="000000"/>
          <w:sz w:val="20"/>
          <w:szCs w:val="20"/>
        </w:rPr>
        <w:t xml:space="preserve"> submit </w:t>
      </w:r>
      <w:r>
        <w:rPr>
          <w:rFonts w:ascii="Verdana" w:eastAsia="Verdana" w:hAnsi="Verdana" w:cs="Verdana"/>
          <w:color w:val="000000"/>
          <w:sz w:val="20"/>
          <w:szCs w:val="20"/>
        </w:rPr>
        <w:t xml:space="preserve">their </w:t>
      </w:r>
      <w:r w:rsidR="001B1377" w:rsidRPr="00FD51EB">
        <w:rPr>
          <w:rFonts w:ascii="Verdana" w:eastAsia="Verdana" w:hAnsi="Verdana" w:cs="Verdana"/>
          <w:color w:val="000000"/>
          <w:sz w:val="20"/>
          <w:szCs w:val="20"/>
        </w:rPr>
        <w:t xml:space="preserve">recommendations to </w:t>
      </w:r>
      <w:r>
        <w:rPr>
          <w:rFonts w:ascii="Verdana" w:eastAsia="Verdana" w:hAnsi="Verdana" w:cs="Verdana"/>
          <w:color w:val="000000"/>
          <w:sz w:val="20"/>
          <w:szCs w:val="20"/>
        </w:rPr>
        <w:t>the Board</w:t>
      </w:r>
      <w:r w:rsidR="001B1377" w:rsidRPr="00FD51EB">
        <w:rPr>
          <w:rFonts w:ascii="Verdana" w:eastAsia="Verdana" w:hAnsi="Verdana" w:cs="Verdana"/>
          <w:color w:val="000000"/>
          <w:sz w:val="20"/>
          <w:szCs w:val="20"/>
        </w:rPr>
        <w:t xml:space="preserve"> </w:t>
      </w:r>
      <w:r>
        <w:rPr>
          <w:rFonts w:ascii="Verdana" w:eastAsia="Verdana" w:hAnsi="Verdana" w:cs="Verdana"/>
          <w:color w:val="000000"/>
          <w:sz w:val="20"/>
          <w:szCs w:val="20"/>
        </w:rPr>
        <w:t>at the</w:t>
      </w:r>
      <w:r w:rsidR="001B1377" w:rsidRPr="00FD51EB">
        <w:rPr>
          <w:rFonts w:ascii="Verdana" w:eastAsia="Verdana" w:hAnsi="Verdana" w:cs="Verdana"/>
          <w:color w:val="000000"/>
          <w:sz w:val="20"/>
          <w:szCs w:val="20"/>
        </w:rPr>
        <w:t xml:space="preserve"> January 24</w:t>
      </w:r>
      <w:r>
        <w:rPr>
          <w:rFonts w:ascii="Verdana" w:eastAsia="Verdana" w:hAnsi="Verdana" w:cs="Verdana"/>
          <w:color w:val="000000"/>
          <w:sz w:val="20"/>
          <w:szCs w:val="20"/>
        </w:rPr>
        <w:t>, 2019</w:t>
      </w:r>
      <w:r w:rsidR="001B1377" w:rsidRPr="00FD51EB">
        <w:rPr>
          <w:rFonts w:ascii="Verdana" w:eastAsia="Verdana" w:hAnsi="Verdana" w:cs="Verdana"/>
          <w:color w:val="000000"/>
          <w:sz w:val="20"/>
          <w:szCs w:val="20"/>
        </w:rPr>
        <w:t xml:space="preserve"> meeting.</w:t>
      </w:r>
    </w:p>
    <w:p w:rsidR="00F97A08" w:rsidRPr="00FD51EB" w:rsidRDefault="00F97A08" w:rsidP="00FD51EB">
      <w:pPr>
        <w:pStyle w:val="ListParagraph"/>
        <w:tabs>
          <w:tab w:val="left" w:pos="810"/>
        </w:tabs>
        <w:spacing w:after="0" w:line="240" w:lineRule="auto"/>
        <w:rPr>
          <w:rFonts w:ascii="Verdana" w:eastAsia="Verdana" w:hAnsi="Verdana" w:cs="Verdana"/>
          <w:sz w:val="20"/>
          <w:szCs w:val="20"/>
        </w:rPr>
      </w:pPr>
    </w:p>
    <w:p w:rsidR="008E08E1" w:rsidRPr="004F26A3" w:rsidRDefault="008E08E1">
      <w:pPr>
        <w:tabs>
          <w:tab w:val="left" w:pos="810"/>
        </w:tabs>
        <w:spacing w:after="0" w:line="240" w:lineRule="auto"/>
        <w:rPr>
          <w:rFonts w:ascii="Verdana" w:eastAsia="Verdana" w:hAnsi="Verdana" w:cs="Verdana"/>
          <w:b/>
          <w:sz w:val="20"/>
          <w:szCs w:val="20"/>
        </w:rPr>
      </w:pPr>
    </w:p>
    <w:p w:rsidR="008E08E1" w:rsidRPr="004F26A3" w:rsidRDefault="001B1377">
      <w:pPr>
        <w:tabs>
          <w:tab w:val="left" w:pos="810"/>
        </w:tabs>
        <w:spacing w:after="0" w:line="240" w:lineRule="auto"/>
        <w:rPr>
          <w:rFonts w:ascii="Verdana" w:eastAsia="Verdana" w:hAnsi="Verdana" w:cs="Verdana"/>
          <w:b/>
          <w:sz w:val="20"/>
          <w:szCs w:val="20"/>
        </w:rPr>
      </w:pPr>
      <w:r w:rsidRPr="004F26A3">
        <w:rPr>
          <w:rFonts w:ascii="Verdana" w:eastAsia="Verdana" w:hAnsi="Verdana" w:cs="Verdana"/>
          <w:b/>
          <w:sz w:val="20"/>
          <w:szCs w:val="20"/>
        </w:rPr>
        <w:t>Previous discussions follow up</w:t>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p>
    <w:p w:rsidR="008E08E1" w:rsidRPr="004F26A3" w:rsidRDefault="001B1377">
      <w:pPr>
        <w:numPr>
          <w:ilvl w:val="0"/>
          <w:numId w:val="3"/>
        </w:numPr>
        <w:pBdr>
          <w:top w:val="nil"/>
          <w:left w:val="nil"/>
          <w:bottom w:val="nil"/>
          <w:right w:val="nil"/>
          <w:between w:val="nil"/>
        </w:pBdr>
        <w:tabs>
          <w:tab w:val="left" w:pos="810"/>
        </w:tabs>
        <w:spacing w:after="0" w:line="240" w:lineRule="auto"/>
        <w:contextualSpacing/>
        <w:rPr>
          <w:rFonts w:ascii="Verdana" w:hAnsi="Verdana"/>
          <w:b/>
          <w:i/>
          <w:color w:val="000000"/>
          <w:sz w:val="20"/>
          <w:szCs w:val="20"/>
        </w:rPr>
      </w:pPr>
      <w:r w:rsidRPr="004F26A3">
        <w:rPr>
          <w:rFonts w:ascii="Verdana" w:hAnsi="Verdana"/>
          <w:i/>
          <w:sz w:val="20"/>
          <w:szCs w:val="20"/>
        </w:rPr>
        <w:t>Mimi Leonard’s HB18-1005 (postsecondary enrollment options notification) question:</w:t>
      </w:r>
      <w:r w:rsidRPr="004F26A3">
        <w:rPr>
          <w:rFonts w:ascii="Verdana" w:hAnsi="Verdana"/>
          <w:sz w:val="20"/>
          <w:szCs w:val="20"/>
        </w:rPr>
        <w:t xml:space="preserve">  Can LEPs just include a link to the IHE’s course catalog for courses available at the IHE’s facility?  </w:t>
      </w:r>
      <w:r w:rsidRPr="004F26A3">
        <w:rPr>
          <w:rFonts w:ascii="Verdana" w:hAnsi="Verdana"/>
          <w:b/>
          <w:sz w:val="20"/>
          <w:szCs w:val="20"/>
        </w:rPr>
        <w:t>Yes, as long as</w:t>
      </w:r>
      <w:r w:rsidR="00945577">
        <w:rPr>
          <w:rFonts w:ascii="Verdana" w:hAnsi="Verdana"/>
          <w:b/>
          <w:sz w:val="20"/>
          <w:szCs w:val="20"/>
        </w:rPr>
        <w:t xml:space="preserve"> there is a statement such as: </w:t>
      </w:r>
      <w:r w:rsidRPr="004F26A3">
        <w:rPr>
          <w:rFonts w:ascii="Verdana" w:hAnsi="Verdana"/>
          <w:b/>
          <w:i/>
          <w:sz w:val="20"/>
          <w:szCs w:val="20"/>
        </w:rPr>
        <w:t xml:space="preserve">Courses taken on an IHE’s campus may be available with </w:t>
      </w:r>
      <w:r w:rsidRPr="004F26A3">
        <w:rPr>
          <w:rFonts w:ascii="Verdana" w:hAnsi="Verdana"/>
          <w:b/>
          <w:i/>
          <w:sz w:val="20"/>
          <w:szCs w:val="20"/>
          <w:u w:val="single"/>
        </w:rPr>
        <w:t>LEP approval</w:t>
      </w:r>
      <w:r w:rsidRPr="004F26A3">
        <w:rPr>
          <w:rFonts w:ascii="Verdana" w:hAnsi="Verdana"/>
          <w:b/>
          <w:sz w:val="20"/>
          <w:szCs w:val="20"/>
        </w:rPr>
        <w:t xml:space="preserve"> and an explanation of where to find course costs</w:t>
      </w:r>
      <w:r w:rsidRPr="004F26A3">
        <w:rPr>
          <w:rFonts w:ascii="Verdana" w:hAnsi="Verdana"/>
          <w:b/>
          <w:i/>
          <w:sz w:val="20"/>
          <w:szCs w:val="20"/>
        </w:rPr>
        <w:t xml:space="preserve">. </w:t>
      </w:r>
    </w:p>
    <w:p w:rsidR="008E08E1" w:rsidRPr="004F26A3" w:rsidRDefault="008E08E1">
      <w:pPr>
        <w:pBdr>
          <w:top w:val="nil"/>
          <w:left w:val="nil"/>
          <w:bottom w:val="nil"/>
          <w:right w:val="nil"/>
          <w:between w:val="nil"/>
        </w:pBdr>
        <w:tabs>
          <w:tab w:val="left" w:pos="810"/>
        </w:tabs>
        <w:spacing w:after="0" w:line="240" w:lineRule="auto"/>
        <w:ind w:left="810" w:hanging="720"/>
        <w:rPr>
          <w:rFonts w:ascii="Verdana" w:eastAsia="Verdana" w:hAnsi="Verdana" w:cs="Verdana"/>
          <w:b/>
          <w:color w:val="000000"/>
          <w:sz w:val="20"/>
          <w:szCs w:val="20"/>
        </w:rPr>
      </w:pPr>
    </w:p>
    <w:p w:rsidR="008E08E1" w:rsidRPr="004F26A3" w:rsidRDefault="008E08E1">
      <w:pPr>
        <w:pBdr>
          <w:top w:val="nil"/>
          <w:left w:val="nil"/>
          <w:bottom w:val="nil"/>
          <w:right w:val="nil"/>
          <w:between w:val="nil"/>
        </w:pBdr>
        <w:tabs>
          <w:tab w:val="left" w:pos="810"/>
        </w:tabs>
        <w:spacing w:after="0" w:line="240" w:lineRule="auto"/>
        <w:ind w:left="1530" w:hanging="720"/>
        <w:rPr>
          <w:rFonts w:ascii="Verdana" w:eastAsia="Verdana" w:hAnsi="Verdana" w:cs="Verdana"/>
          <w:i/>
          <w:color w:val="000000"/>
          <w:sz w:val="20"/>
          <w:szCs w:val="20"/>
        </w:rPr>
      </w:pPr>
    </w:p>
    <w:p w:rsidR="008E08E1" w:rsidRPr="004F26A3" w:rsidRDefault="001B1377">
      <w:pPr>
        <w:spacing w:after="0" w:line="240" w:lineRule="auto"/>
        <w:ind w:left="2070" w:hanging="2070"/>
        <w:rPr>
          <w:rFonts w:ascii="Verdana" w:eastAsia="Verdana" w:hAnsi="Verdana" w:cs="Verdana"/>
          <w:b/>
          <w:sz w:val="20"/>
          <w:szCs w:val="20"/>
        </w:rPr>
      </w:pPr>
      <w:r w:rsidRPr="004F26A3">
        <w:rPr>
          <w:rFonts w:ascii="Verdana" w:eastAsia="Verdana" w:hAnsi="Verdana" w:cs="Verdana"/>
          <w:b/>
          <w:sz w:val="20"/>
          <w:szCs w:val="20"/>
        </w:rPr>
        <w:t xml:space="preserve">Public Input </w:t>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p>
    <w:p w:rsidR="008E08E1" w:rsidRPr="004F26A3" w:rsidRDefault="008E08E1">
      <w:pPr>
        <w:spacing w:after="0" w:line="240" w:lineRule="auto"/>
        <w:ind w:left="2070" w:hanging="2070"/>
        <w:rPr>
          <w:rFonts w:ascii="Verdana" w:eastAsia="Verdana" w:hAnsi="Verdana" w:cs="Verdana"/>
          <w:b/>
          <w:sz w:val="20"/>
          <w:szCs w:val="20"/>
        </w:rPr>
      </w:pPr>
    </w:p>
    <w:p w:rsidR="008E08E1" w:rsidRPr="00A67D6B" w:rsidRDefault="001B1377">
      <w:pPr>
        <w:numPr>
          <w:ilvl w:val="0"/>
          <w:numId w:val="9"/>
        </w:numPr>
        <w:spacing w:after="0" w:line="240" w:lineRule="auto"/>
        <w:contextualSpacing/>
        <w:rPr>
          <w:rFonts w:ascii="Verdana" w:eastAsia="Verdana" w:hAnsi="Verdana" w:cs="Verdana"/>
          <w:sz w:val="20"/>
          <w:szCs w:val="20"/>
        </w:rPr>
      </w:pPr>
      <w:r w:rsidRPr="00A67D6B">
        <w:rPr>
          <w:rFonts w:ascii="Verdana" w:eastAsia="Verdana" w:hAnsi="Verdana" w:cs="Verdana"/>
          <w:sz w:val="20"/>
          <w:szCs w:val="20"/>
        </w:rPr>
        <w:t>Greg Hesse</w:t>
      </w:r>
      <w:r w:rsidR="00AE0C13">
        <w:rPr>
          <w:rFonts w:ascii="Verdana" w:eastAsia="Verdana" w:hAnsi="Verdana" w:cs="Verdana"/>
          <w:sz w:val="20"/>
          <w:szCs w:val="20"/>
        </w:rPr>
        <w:t>,</w:t>
      </w:r>
      <w:r w:rsidRPr="00A67D6B">
        <w:rPr>
          <w:rFonts w:ascii="Verdana" w:eastAsia="Verdana" w:hAnsi="Verdana" w:cs="Verdana"/>
          <w:sz w:val="20"/>
          <w:szCs w:val="20"/>
        </w:rPr>
        <w:t xml:space="preserve"> C</w:t>
      </w:r>
      <w:r w:rsidR="00AE0C13">
        <w:rPr>
          <w:rFonts w:ascii="Verdana" w:eastAsia="Verdana" w:hAnsi="Verdana" w:cs="Verdana"/>
          <w:sz w:val="20"/>
          <w:szCs w:val="20"/>
        </w:rPr>
        <w:t xml:space="preserve">olorado </w:t>
      </w:r>
      <w:r w:rsidRPr="00A67D6B">
        <w:rPr>
          <w:rFonts w:ascii="Verdana" w:eastAsia="Verdana" w:hAnsi="Verdana" w:cs="Verdana"/>
          <w:sz w:val="20"/>
          <w:szCs w:val="20"/>
        </w:rPr>
        <w:t>E</w:t>
      </w:r>
      <w:r w:rsidR="00AE0C13">
        <w:rPr>
          <w:rFonts w:ascii="Verdana" w:eastAsia="Verdana" w:hAnsi="Verdana" w:cs="Verdana"/>
          <w:sz w:val="20"/>
          <w:szCs w:val="20"/>
        </w:rPr>
        <w:t xml:space="preserve">ducation </w:t>
      </w:r>
      <w:r w:rsidRPr="00A67D6B">
        <w:rPr>
          <w:rFonts w:ascii="Verdana" w:eastAsia="Verdana" w:hAnsi="Verdana" w:cs="Verdana"/>
          <w:sz w:val="20"/>
          <w:szCs w:val="20"/>
        </w:rPr>
        <w:t>I</w:t>
      </w:r>
      <w:r w:rsidR="00AE0C13">
        <w:rPr>
          <w:rFonts w:ascii="Verdana" w:eastAsia="Verdana" w:hAnsi="Verdana" w:cs="Verdana"/>
          <w:sz w:val="20"/>
          <w:szCs w:val="20"/>
        </w:rPr>
        <w:t>nitiative</w:t>
      </w:r>
      <w:r w:rsidR="009E0EAD">
        <w:rPr>
          <w:rFonts w:ascii="Verdana" w:eastAsia="Verdana" w:hAnsi="Verdana" w:cs="Verdana"/>
          <w:sz w:val="20"/>
          <w:szCs w:val="20"/>
        </w:rPr>
        <w:t xml:space="preserve"> (CEI)</w:t>
      </w:r>
      <w:r w:rsidRPr="00A67D6B">
        <w:rPr>
          <w:rFonts w:ascii="Verdana" w:eastAsia="Verdana" w:hAnsi="Verdana" w:cs="Verdana"/>
          <w:sz w:val="20"/>
          <w:szCs w:val="20"/>
        </w:rPr>
        <w:t xml:space="preserve"> </w:t>
      </w:r>
      <w:r w:rsidR="009E0EAD">
        <w:rPr>
          <w:rFonts w:ascii="Verdana" w:eastAsia="Verdana" w:hAnsi="Verdana" w:cs="Verdana"/>
          <w:sz w:val="20"/>
          <w:szCs w:val="20"/>
        </w:rPr>
        <w:t>–</w:t>
      </w:r>
      <w:r w:rsidRPr="00A67D6B">
        <w:rPr>
          <w:rFonts w:ascii="Verdana" w:eastAsia="Verdana" w:hAnsi="Verdana" w:cs="Verdana"/>
          <w:sz w:val="20"/>
          <w:szCs w:val="20"/>
        </w:rPr>
        <w:t xml:space="preserve"> </w:t>
      </w:r>
      <w:r w:rsidR="009E0EAD">
        <w:rPr>
          <w:rFonts w:ascii="Verdana" w:eastAsia="Verdana" w:hAnsi="Verdana" w:cs="Verdana"/>
          <w:sz w:val="20"/>
          <w:szCs w:val="20"/>
        </w:rPr>
        <w:t xml:space="preserve">asked if </w:t>
      </w:r>
      <w:r w:rsidRPr="00A67D6B">
        <w:rPr>
          <w:rFonts w:ascii="Verdana" w:eastAsia="Verdana" w:hAnsi="Verdana" w:cs="Verdana"/>
          <w:sz w:val="20"/>
          <w:szCs w:val="20"/>
        </w:rPr>
        <w:t xml:space="preserve">professional development opportunities </w:t>
      </w:r>
      <w:r w:rsidR="009E0EAD">
        <w:rPr>
          <w:rFonts w:ascii="Verdana" w:eastAsia="Verdana" w:hAnsi="Verdana" w:cs="Verdana"/>
          <w:sz w:val="20"/>
          <w:szCs w:val="20"/>
        </w:rPr>
        <w:t xml:space="preserve">are offered </w:t>
      </w:r>
      <w:r w:rsidRPr="00A67D6B">
        <w:rPr>
          <w:rFonts w:ascii="Verdana" w:eastAsia="Verdana" w:hAnsi="Verdana" w:cs="Verdana"/>
          <w:sz w:val="20"/>
          <w:szCs w:val="20"/>
        </w:rPr>
        <w:t>for CE instructors</w:t>
      </w:r>
      <w:r w:rsidR="009E0EAD">
        <w:rPr>
          <w:rFonts w:ascii="Verdana" w:eastAsia="Verdana" w:hAnsi="Verdana" w:cs="Verdana"/>
          <w:sz w:val="20"/>
          <w:szCs w:val="20"/>
        </w:rPr>
        <w:t xml:space="preserve">. Each community college </w:t>
      </w:r>
      <w:r w:rsidR="0007087D">
        <w:rPr>
          <w:rFonts w:ascii="Verdana" w:eastAsia="Verdana" w:hAnsi="Verdana" w:cs="Verdana"/>
          <w:sz w:val="20"/>
          <w:szCs w:val="20"/>
        </w:rPr>
        <w:t>offers various types of on</w:t>
      </w:r>
      <w:r w:rsidR="00586305">
        <w:rPr>
          <w:rFonts w:ascii="Verdana" w:eastAsia="Verdana" w:hAnsi="Verdana" w:cs="Verdana"/>
          <w:sz w:val="20"/>
          <w:szCs w:val="20"/>
        </w:rPr>
        <w:t>boarding and</w:t>
      </w:r>
      <w:r w:rsidR="009E0EAD">
        <w:rPr>
          <w:rFonts w:ascii="Verdana" w:eastAsia="Verdana" w:hAnsi="Verdana" w:cs="Verdana"/>
          <w:sz w:val="20"/>
          <w:szCs w:val="20"/>
        </w:rPr>
        <w:t xml:space="preserve"> professional development for their high school CE instructors. NACEP also offers some professional development</w:t>
      </w:r>
      <w:r w:rsidR="00586305">
        <w:rPr>
          <w:rFonts w:ascii="Verdana" w:eastAsia="Verdana" w:hAnsi="Verdana" w:cs="Verdana"/>
          <w:sz w:val="20"/>
          <w:szCs w:val="20"/>
        </w:rPr>
        <w:t>.</w:t>
      </w:r>
      <w:r w:rsidRPr="00586305">
        <w:rPr>
          <w:rFonts w:ascii="Verdana" w:eastAsia="Verdana" w:hAnsi="Verdana" w:cs="Verdana"/>
          <w:sz w:val="20"/>
          <w:szCs w:val="20"/>
        </w:rPr>
        <w:t xml:space="preserve">  Tammy</w:t>
      </w:r>
      <w:r w:rsidR="00D9236A">
        <w:rPr>
          <w:rFonts w:ascii="Verdana" w:eastAsia="Verdana" w:hAnsi="Verdana" w:cs="Verdana"/>
          <w:sz w:val="20"/>
          <w:szCs w:val="20"/>
        </w:rPr>
        <w:t xml:space="preserve"> Ward</w:t>
      </w:r>
      <w:r w:rsidRPr="00586305">
        <w:rPr>
          <w:rFonts w:ascii="Verdana" w:eastAsia="Verdana" w:hAnsi="Verdana" w:cs="Verdana"/>
          <w:sz w:val="20"/>
          <w:szCs w:val="20"/>
        </w:rPr>
        <w:t xml:space="preserve"> will work with Greg </w:t>
      </w:r>
      <w:r w:rsidR="00D9236A">
        <w:rPr>
          <w:rFonts w:ascii="Verdana" w:eastAsia="Verdana" w:hAnsi="Verdana" w:cs="Verdana"/>
          <w:sz w:val="20"/>
          <w:szCs w:val="20"/>
        </w:rPr>
        <w:t>regarding a possible metro region cross-college support system.</w:t>
      </w:r>
    </w:p>
    <w:p w:rsidR="008E08E1" w:rsidRPr="004F26A3" w:rsidRDefault="008E08E1">
      <w:pPr>
        <w:spacing w:after="0" w:line="240" w:lineRule="auto"/>
        <w:ind w:left="2070" w:hanging="2070"/>
        <w:rPr>
          <w:rFonts w:ascii="Verdana" w:eastAsia="Verdana" w:hAnsi="Verdana" w:cs="Verdana"/>
          <w:b/>
          <w:sz w:val="20"/>
          <w:szCs w:val="20"/>
        </w:rPr>
      </w:pPr>
    </w:p>
    <w:p w:rsidR="008E08E1" w:rsidRPr="004F26A3" w:rsidRDefault="008E08E1">
      <w:pPr>
        <w:spacing w:after="0" w:line="240" w:lineRule="auto"/>
        <w:ind w:left="2070" w:hanging="2070"/>
        <w:rPr>
          <w:rFonts w:ascii="Verdana" w:eastAsia="Verdana" w:hAnsi="Verdana" w:cs="Verdana"/>
          <w:b/>
          <w:sz w:val="20"/>
          <w:szCs w:val="20"/>
        </w:rPr>
      </w:pPr>
    </w:p>
    <w:p w:rsidR="008E08E1" w:rsidRPr="004F26A3" w:rsidRDefault="001B1377">
      <w:pPr>
        <w:spacing w:after="0" w:line="240" w:lineRule="auto"/>
        <w:ind w:left="2070" w:hanging="2070"/>
        <w:rPr>
          <w:rFonts w:ascii="Verdana" w:eastAsia="Verdana" w:hAnsi="Verdana" w:cs="Verdana"/>
          <w:b/>
          <w:sz w:val="20"/>
          <w:szCs w:val="20"/>
        </w:rPr>
      </w:pPr>
      <w:r w:rsidRPr="004F26A3">
        <w:rPr>
          <w:rFonts w:ascii="Verdana" w:eastAsia="Verdana" w:hAnsi="Verdana" w:cs="Verdana"/>
          <w:b/>
          <w:sz w:val="20"/>
          <w:szCs w:val="20"/>
        </w:rPr>
        <w:t xml:space="preserve">Action Plan and Next Steps </w:t>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r w:rsidRPr="004F26A3">
        <w:rPr>
          <w:rFonts w:ascii="Verdana" w:eastAsia="Verdana" w:hAnsi="Verdana" w:cs="Verdana"/>
          <w:b/>
          <w:sz w:val="20"/>
          <w:szCs w:val="20"/>
        </w:rPr>
        <w:tab/>
      </w:r>
    </w:p>
    <w:p w:rsidR="00BC02C2" w:rsidRPr="00BC02C2" w:rsidRDefault="00BC02C2">
      <w:pPr>
        <w:numPr>
          <w:ilvl w:val="0"/>
          <w:numId w:val="8"/>
        </w:numPr>
        <w:pBdr>
          <w:top w:val="nil"/>
          <w:left w:val="nil"/>
          <w:bottom w:val="nil"/>
          <w:right w:val="nil"/>
          <w:between w:val="nil"/>
        </w:pBdr>
        <w:spacing w:after="0"/>
        <w:contextualSpacing/>
        <w:rPr>
          <w:rFonts w:ascii="Verdana" w:hAnsi="Verdana"/>
          <w:b/>
          <w:color w:val="000000"/>
          <w:sz w:val="20"/>
          <w:szCs w:val="20"/>
          <w:u w:val="single"/>
        </w:rPr>
      </w:pPr>
      <w:r>
        <w:rPr>
          <w:rFonts w:ascii="Verdana" w:hAnsi="Verdana"/>
          <w:color w:val="000000"/>
          <w:sz w:val="20"/>
          <w:szCs w:val="20"/>
        </w:rPr>
        <w:t>January 24, 2019 meeting agenda to include:</w:t>
      </w:r>
    </w:p>
    <w:p w:rsidR="0007087D" w:rsidRPr="0007087D" w:rsidRDefault="0007087D" w:rsidP="00BC02C2">
      <w:pPr>
        <w:numPr>
          <w:ilvl w:val="1"/>
          <w:numId w:val="8"/>
        </w:numPr>
        <w:pBdr>
          <w:top w:val="nil"/>
          <w:left w:val="nil"/>
          <w:bottom w:val="nil"/>
          <w:right w:val="nil"/>
          <w:between w:val="nil"/>
        </w:pBdr>
        <w:spacing w:after="0"/>
        <w:contextualSpacing/>
        <w:rPr>
          <w:rFonts w:ascii="Verdana" w:hAnsi="Verdana"/>
          <w:b/>
          <w:color w:val="000000"/>
          <w:sz w:val="20"/>
          <w:szCs w:val="20"/>
          <w:u w:val="single"/>
        </w:rPr>
      </w:pPr>
      <w:r>
        <w:rPr>
          <w:rFonts w:ascii="Verdana" w:hAnsi="Verdana"/>
          <w:color w:val="000000"/>
          <w:sz w:val="20"/>
          <w:szCs w:val="20"/>
        </w:rPr>
        <w:t>Professional d</w:t>
      </w:r>
      <w:r w:rsidR="00BC02C2">
        <w:rPr>
          <w:rFonts w:ascii="Verdana" w:hAnsi="Verdana"/>
          <w:color w:val="000000"/>
          <w:sz w:val="20"/>
          <w:szCs w:val="20"/>
        </w:rPr>
        <w:t xml:space="preserve">evelopment and onboarding </w:t>
      </w:r>
      <w:r>
        <w:rPr>
          <w:rFonts w:ascii="Verdana" w:hAnsi="Verdana"/>
          <w:color w:val="000000"/>
          <w:sz w:val="20"/>
          <w:szCs w:val="20"/>
        </w:rPr>
        <w:t>opportunities for CE instructors</w:t>
      </w:r>
    </w:p>
    <w:p w:rsidR="0007087D" w:rsidRPr="0007087D" w:rsidRDefault="0007087D" w:rsidP="00BC02C2">
      <w:pPr>
        <w:numPr>
          <w:ilvl w:val="1"/>
          <w:numId w:val="8"/>
        </w:numPr>
        <w:pBdr>
          <w:top w:val="nil"/>
          <w:left w:val="nil"/>
          <w:bottom w:val="nil"/>
          <w:right w:val="nil"/>
          <w:between w:val="nil"/>
        </w:pBdr>
        <w:spacing w:after="0"/>
        <w:contextualSpacing/>
        <w:rPr>
          <w:rFonts w:ascii="Verdana" w:hAnsi="Verdana"/>
          <w:b/>
          <w:color w:val="000000"/>
          <w:sz w:val="20"/>
          <w:szCs w:val="20"/>
          <w:u w:val="single"/>
        </w:rPr>
      </w:pPr>
      <w:r>
        <w:rPr>
          <w:rFonts w:ascii="Verdana" w:hAnsi="Verdana"/>
          <w:color w:val="000000"/>
          <w:sz w:val="20"/>
          <w:szCs w:val="20"/>
        </w:rPr>
        <w:lastRenderedPageBreak/>
        <w:t>ASCENT allocation model subcommittee report</w:t>
      </w:r>
    </w:p>
    <w:p w:rsidR="00BC02C2" w:rsidRPr="00BC02C2" w:rsidRDefault="00BC02C2" w:rsidP="0007087D">
      <w:pPr>
        <w:pBdr>
          <w:top w:val="nil"/>
          <w:left w:val="nil"/>
          <w:bottom w:val="nil"/>
          <w:right w:val="nil"/>
          <w:between w:val="nil"/>
        </w:pBdr>
        <w:spacing w:after="0"/>
        <w:ind w:left="1440"/>
        <w:contextualSpacing/>
        <w:rPr>
          <w:rFonts w:ascii="Verdana" w:hAnsi="Verdana"/>
          <w:b/>
          <w:color w:val="000000"/>
          <w:sz w:val="20"/>
          <w:szCs w:val="20"/>
          <w:u w:val="single"/>
        </w:rPr>
      </w:pPr>
      <w:r>
        <w:rPr>
          <w:rFonts w:ascii="Verdana" w:hAnsi="Verdana"/>
          <w:color w:val="000000"/>
          <w:sz w:val="20"/>
          <w:szCs w:val="20"/>
        </w:rPr>
        <w:t xml:space="preserve"> </w:t>
      </w:r>
    </w:p>
    <w:p w:rsidR="008E08E1" w:rsidRPr="004F26A3" w:rsidRDefault="001B1377">
      <w:pPr>
        <w:numPr>
          <w:ilvl w:val="0"/>
          <w:numId w:val="8"/>
        </w:numPr>
        <w:pBdr>
          <w:top w:val="nil"/>
          <w:left w:val="nil"/>
          <w:bottom w:val="nil"/>
          <w:right w:val="nil"/>
          <w:between w:val="nil"/>
        </w:pBdr>
        <w:spacing w:after="0"/>
        <w:contextualSpacing/>
        <w:rPr>
          <w:rFonts w:ascii="Verdana" w:hAnsi="Verdana"/>
          <w:b/>
          <w:color w:val="000000"/>
          <w:sz w:val="20"/>
          <w:szCs w:val="20"/>
          <w:u w:val="single"/>
        </w:rPr>
      </w:pPr>
      <w:r w:rsidRPr="004F26A3">
        <w:rPr>
          <w:rFonts w:ascii="Verdana" w:eastAsia="Verdana" w:hAnsi="Verdana" w:cs="Verdana"/>
          <w:b/>
          <w:color w:val="000000"/>
          <w:sz w:val="20"/>
          <w:szCs w:val="20"/>
          <w:u w:val="single"/>
        </w:rPr>
        <w:t>2019 MEETING SCHEDULE</w:t>
      </w:r>
    </w:p>
    <w:p w:rsidR="008E08E1" w:rsidRPr="004F26A3" w:rsidRDefault="001B1377">
      <w:pPr>
        <w:numPr>
          <w:ilvl w:val="0"/>
          <w:numId w:val="2"/>
        </w:numPr>
        <w:pBdr>
          <w:top w:val="nil"/>
          <w:left w:val="nil"/>
          <w:bottom w:val="nil"/>
          <w:right w:val="nil"/>
          <w:between w:val="nil"/>
        </w:pBdr>
        <w:spacing w:after="0"/>
        <w:contextualSpacing/>
        <w:rPr>
          <w:rFonts w:ascii="Verdana" w:hAnsi="Verdana"/>
          <w:color w:val="000000"/>
          <w:sz w:val="20"/>
          <w:szCs w:val="20"/>
        </w:rPr>
      </w:pPr>
      <w:r w:rsidRPr="004F26A3">
        <w:rPr>
          <w:rFonts w:ascii="Verdana" w:eastAsia="Verdana" w:hAnsi="Verdana" w:cs="Verdana"/>
          <w:color w:val="000000"/>
          <w:sz w:val="20"/>
          <w:szCs w:val="20"/>
        </w:rPr>
        <w:t>January 24, 2019</w:t>
      </w:r>
    </w:p>
    <w:p w:rsidR="008E08E1" w:rsidRPr="004F26A3" w:rsidRDefault="001B1377">
      <w:pPr>
        <w:numPr>
          <w:ilvl w:val="0"/>
          <w:numId w:val="2"/>
        </w:numPr>
        <w:pBdr>
          <w:top w:val="nil"/>
          <w:left w:val="nil"/>
          <w:bottom w:val="nil"/>
          <w:right w:val="nil"/>
          <w:between w:val="nil"/>
        </w:pBdr>
        <w:spacing w:after="0"/>
        <w:contextualSpacing/>
        <w:rPr>
          <w:rFonts w:ascii="Verdana" w:hAnsi="Verdana"/>
          <w:color w:val="000000"/>
          <w:sz w:val="20"/>
          <w:szCs w:val="20"/>
        </w:rPr>
      </w:pPr>
      <w:r w:rsidRPr="004F26A3">
        <w:rPr>
          <w:rFonts w:ascii="Verdana" w:eastAsia="Verdana" w:hAnsi="Verdana" w:cs="Verdana"/>
          <w:color w:val="000000"/>
          <w:sz w:val="20"/>
          <w:szCs w:val="20"/>
        </w:rPr>
        <w:t>April 25, 2019</w:t>
      </w:r>
    </w:p>
    <w:p w:rsidR="008E08E1" w:rsidRPr="004F26A3" w:rsidRDefault="001B1377">
      <w:pPr>
        <w:numPr>
          <w:ilvl w:val="0"/>
          <w:numId w:val="2"/>
        </w:numPr>
        <w:pBdr>
          <w:top w:val="nil"/>
          <w:left w:val="nil"/>
          <w:bottom w:val="nil"/>
          <w:right w:val="nil"/>
          <w:between w:val="nil"/>
        </w:pBdr>
        <w:spacing w:after="0"/>
        <w:contextualSpacing/>
        <w:rPr>
          <w:rFonts w:ascii="Verdana" w:hAnsi="Verdana"/>
          <w:color w:val="000000"/>
          <w:sz w:val="20"/>
          <w:szCs w:val="20"/>
        </w:rPr>
      </w:pPr>
      <w:r w:rsidRPr="004F26A3">
        <w:rPr>
          <w:rFonts w:ascii="Verdana" w:eastAsia="Verdana" w:hAnsi="Verdana" w:cs="Verdana"/>
          <w:color w:val="000000"/>
          <w:sz w:val="20"/>
          <w:szCs w:val="20"/>
        </w:rPr>
        <w:t>July 25, 2019</w:t>
      </w:r>
    </w:p>
    <w:p w:rsidR="008E08E1" w:rsidRPr="004F26A3" w:rsidRDefault="001B1377">
      <w:pPr>
        <w:numPr>
          <w:ilvl w:val="0"/>
          <w:numId w:val="2"/>
        </w:numPr>
        <w:pBdr>
          <w:top w:val="nil"/>
          <w:left w:val="nil"/>
          <w:bottom w:val="nil"/>
          <w:right w:val="nil"/>
          <w:between w:val="nil"/>
        </w:pBdr>
        <w:spacing w:after="0"/>
        <w:contextualSpacing/>
        <w:rPr>
          <w:rFonts w:ascii="Verdana" w:hAnsi="Verdana"/>
          <w:color w:val="000000"/>
          <w:sz w:val="20"/>
          <w:szCs w:val="20"/>
        </w:rPr>
      </w:pPr>
      <w:r w:rsidRPr="004F26A3">
        <w:rPr>
          <w:rFonts w:ascii="Verdana" w:eastAsia="Verdana" w:hAnsi="Verdana" w:cs="Verdana"/>
          <w:color w:val="000000"/>
          <w:sz w:val="20"/>
          <w:szCs w:val="20"/>
        </w:rPr>
        <w:t>October 24, 2019</w:t>
      </w:r>
    </w:p>
    <w:p w:rsidR="008E08E1" w:rsidRPr="004F26A3" w:rsidRDefault="008E08E1">
      <w:pPr>
        <w:pBdr>
          <w:top w:val="nil"/>
          <w:left w:val="nil"/>
          <w:bottom w:val="nil"/>
          <w:right w:val="nil"/>
          <w:between w:val="nil"/>
        </w:pBdr>
        <w:spacing w:after="0"/>
        <w:ind w:left="1080" w:hanging="720"/>
        <w:rPr>
          <w:rFonts w:ascii="Verdana" w:hAnsi="Verdana"/>
          <w:sz w:val="20"/>
          <w:szCs w:val="20"/>
        </w:rPr>
      </w:pPr>
    </w:p>
    <w:p w:rsidR="008E08E1" w:rsidRPr="004F26A3" w:rsidRDefault="001B1377">
      <w:pPr>
        <w:numPr>
          <w:ilvl w:val="0"/>
          <w:numId w:val="7"/>
        </w:numPr>
        <w:pBdr>
          <w:top w:val="nil"/>
          <w:left w:val="nil"/>
          <w:bottom w:val="nil"/>
          <w:right w:val="nil"/>
          <w:between w:val="nil"/>
        </w:pBdr>
        <w:spacing w:after="0" w:line="240" w:lineRule="auto"/>
        <w:contextualSpacing/>
        <w:rPr>
          <w:rFonts w:ascii="Verdana" w:hAnsi="Verdana"/>
          <w:color w:val="000000"/>
          <w:sz w:val="20"/>
          <w:szCs w:val="20"/>
        </w:rPr>
      </w:pPr>
      <w:r w:rsidRPr="004F26A3">
        <w:rPr>
          <w:rFonts w:ascii="Verdana" w:eastAsia="Verdana" w:hAnsi="Verdana" w:cs="Verdana"/>
          <w:color w:val="000000"/>
          <w:sz w:val="20"/>
          <w:szCs w:val="20"/>
        </w:rPr>
        <w:t xml:space="preserve">Next meeting: </w:t>
      </w:r>
    </w:p>
    <w:p w:rsidR="008E08E1" w:rsidRPr="004F26A3" w:rsidRDefault="001B1377">
      <w:pPr>
        <w:numPr>
          <w:ilvl w:val="1"/>
          <w:numId w:val="7"/>
        </w:numPr>
        <w:pBdr>
          <w:top w:val="nil"/>
          <w:left w:val="nil"/>
          <w:bottom w:val="nil"/>
          <w:right w:val="nil"/>
          <w:between w:val="nil"/>
        </w:pBdr>
        <w:spacing w:after="0" w:line="240" w:lineRule="auto"/>
        <w:contextualSpacing/>
        <w:rPr>
          <w:rFonts w:ascii="Verdana" w:hAnsi="Verdana"/>
          <w:b/>
          <w:color w:val="000000"/>
          <w:sz w:val="20"/>
          <w:szCs w:val="20"/>
        </w:rPr>
      </w:pPr>
      <w:r w:rsidRPr="004F26A3">
        <w:rPr>
          <w:rFonts w:ascii="Verdana" w:eastAsia="Verdana" w:hAnsi="Verdana" w:cs="Verdana"/>
          <w:color w:val="000000"/>
          <w:sz w:val="20"/>
          <w:szCs w:val="20"/>
        </w:rPr>
        <w:t>Date:</w:t>
      </w:r>
      <w:r w:rsidRPr="004F26A3">
        <w:rPr>
          <w:rFonts w:ascii="Verdana" w:eastAsia="Verdana" w:hAnsi="Verdana" w:cs="Verdana"/>
          <w:b/>
          <w:color w:val="000000"/>
          <w:sz w:val="20"/>
          <w:szCs w:val="20"/>
        </w:rPr>
        <w:t xml:space="preserve">  </w:t>
      </w:r>
      <w:r w:rsidRPr="004F26A3">
        <w:rPr>
          <w:rFonts w:ascii="Verdana" w:eastAsia="Source Sans Pro" w:hAnsi="Verdana" w:cs="Source Sans Pro"/>
          <w:b/>
          <w:color w:val="000000"/>
          <w:sz w:val="20"/>
          <w:szCs w:val="20"/>
        </w:rPr>
        <w:t xml:space="preserve"> </w:t>
      </w:r>
      <w:r w:rsidRPr="004F26A3">
        <w:rPr>
          <w:rFonts w:ascii="Verdana" w:eastAsia="Verdana" w:hAnsi="Verdana" w:cs="Verdana"/>
          <w:b/>
          <w:color w:val="000000"/>
          <w:sz w:val="20"/>
          <w:szCs w:val="20"/>
        </w:rPr>
        <w:t>January 24, 2019</w:t>
      </w:r>
    </w:p>
    <w:p w:rsidR="008E08E1" w:rsidRPr="004F26A3" w:rsidRDefault="001B1377">
      <w:pPr>
        <w:numPr>
          <w:ilvl w:val="1"/>
          <w:numId w:val="7"/>
        </w:numPr>
        <w:pBdr>
          <w:top w:val="nil"/>
          <w:left w:val="nil"/>
          <w:bottom w:val="nil"/>
          <w:right w:val="nil"/>
          <w:between w:val="nil"/>
        </w:pBdr>
        <w:spacing w:after="0" w:line="240" w:lineRule="auto"/>
        <w:contextualSpacing/>
        <w:rPr>
          <w:rFonts w:ascii="Verdana" w:hAnsi="Verdana"/>
          <w:b/>
          <w:color w:val="000000"/>
          <w:sz w:val="20"/>
          <w:szCs w:val="20"/>
        </w:rPr>
      </w:pPr>
      <w:r w:rsidRPr="004F26A3">
        <w:rPr>
          <w:rFonts w:ascii="Verdana" w:eastAsia="Verdana" w:hAnsi="Verdana" w:cs="Verdana"/>
          <w:color w:val="000000"/>
          <w:sz w:val="20"/>
          <w:szCs w:val="20"/>
        </w:rPr>
        <w:t>Location</w:t>
      </w:r>
      <w:r w:rsidRPr="004F26A3">
        <w:rPr>
          <w:rFonts w:ascii="Verdana" w:eastAsia="Verdana" w:hAnsi="Verdana" w:cs="Verdana"/>
          <w:b/>
          <w:color w:val="000000"/>
          <w:sz w:val="20"/>
          <w:szCs w:val="20"/>
        </w:rPr>
        <w:t xml:space="preserve">  </w:t>
      </w:r>
      <w:r w:rsidRPr="004F26A3">
        <w:rPr>
          <w:rFonts w:ascii="Verdana" w:eastAsia="Verdana" w:hAnsi="Verdana" w:cs="Verdana"/>
          <w:b/>
          <w:sz w:val="20"/>
          <w:szCs w:val="20"/>
        </w:rPr>
        <w:t>FRCC, Westminster campus</w:t>
      </w:r>
    </w:p>
    <w:p w:rsidR="008E08E1" w:rsidRPr="004F26A3" w:rsidRDefault="001B1377">
      <w:pPr>
        <w:tabs>
          <w:tab w:val="left" w:pos="720"/>
        </w:tabs>
        <w:spacing w:after="0" w:line="240" w:lineRule="auto"/>
        <w:ind w:left="810" w:hanging="2070"/>
        <w:rPr>
          <w:rFonts w:ascii="Verdana" w:eastAsia="Verdana" w:hAnsi="Verdana" w:cs="Verdana"/>
          <w:i/>
          <w:sz w:val="20"/>
          <w:szCs w:val="20"/>
        </w:rPr>
      </w:pPr>
      <w:r w:rsidRPr="004F26A3">
        <w:rPr>
          <w:rFonts w:ascii="Verdana" w:eastAsia="Verdana" w:hAnsi="Verdana" w:cs="Verdana"/>
          <w:i/>
          <w:sz w:val="20"/>
          <w:szCs w:val="20"/>
        </w:rPr>
        <w:tab/>
      </w:r>
    </w:p>
    <w:p w:rsidR="008E08E1" w:rsidRPr="004F26A3" w:rsidRDefault="008E08E1">
      <w:pPr>
        <w:spacing w:after="0" w:line="240" w:lineRule="auto"/>
        <w:ind w:left="2074" w:hanging="2074"/>
        <w:rPr>
          <w:rFonts w:ascii="Verdana" w:eastAsia="Verdana" w:hAnsi="Verdana" w:cs="Verdana"/>
          <w:b/>
          <w:sz w:val="20"/>
          <w:szCs w:val="20"/>
        </w:rPr>
      </w:pPr>
    </w:p>
    <w:p w:rsidR="008E08E1" w:rsidRPr="004F26A3" w:rsidRDefault="008A1E27">
      <w:pPr>
        <w:spacing w:after="0" w:line="240" w:lineRule="auto"/>
        <w:ind w:left="2074" w:hanging="2074"/>
        <w:rPr>
          <w:rFonts w:ascii="Verdana" w:eastAsia="Verdana" w:hAnsi="Verdana" w:cs="Verdana"/>
          <w:i/>
          <w:sz w:val="20"/>
          <w:szCs w:val="20"/>
        </w:rPr>
      </w:pPr>
      <w:r>
        <w:rPr>
          <w:rFonts w:ascii="Verdana" w:eastAsia="Verdana" w:hAnsi="Verdana" w:cs="Verdana"/>
          <w:b/>
          <w:sz w:val="20"/>
          <w:szCs w:val="20"/>
        </w:rPr>
        <w:t>Adjourned at 3:04pm.</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sidR="001B1377" w:rsidRPr="004F26A3">
        <w:rPr>
          <w:rFonts w:ascii="Verdana" w:eastAsia="Verdana" w:hAnsi="Verdana" w:cs="Verdana"/>
          <w:sz w:val="20"/>
          <w:szCs w:val="20"/>
        </w:rPr>
        <w:t xml:space="preserve"> </w:t>
      </w:r>
    </w:p>
    <w:sectPr w:rsidR="008E08E1" w:rsidRPr="004F26A3">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2C" w:rsidRDefault="001B1377">
      <w:pPr>
        <w:spacing w:after="0" w:line="240" w:lineRule="auto"/>
      </w:pPr>
      <w:r>
        <w:separator/>
      </w:r>
    </w:p>
  </w:endnote>
  <w:endnote w:type="continuationSeparator" w:id="0">
    <w:p w:rsidR="00B35E2C" w:rsidRDefault="001B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jan Pro">
    <w:altName w:val="Traja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F6" w:rsidRDefault="00255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E1" w:rsidRDefault="001B1377">
    <w:pPr>
      <w:pBdr>
        <w:top w:val="nil"/>
        <w:left w:val="nil"/>
        <w:bottom w:val="nil"/>
        <w:right w:val="nil"/>
        <w:between w:val="nil"/>
      </w:pBdr>
      <w:tabs>
        <w:tab w:val="center" w:pos="4680"/>
        <w:tab w:val="right" w:pos="9360"/>
      </w:tabs>
      <w:ind w:left="720"/>
      <w:jc w:val="center"/>
      <w:rPr>
        <w:color w:val="000000"/>
      </w:rP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F6" w:rsidRDefault="00255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2C" w:rsidRDefault="001B1377">
      <w:pPr>
        <w:spacing w:after="0" w:line="240" w:lineRule="auto"/>
      </w:pPr>
      <w:r>
        <w:separator/>
      </w:r>
    </w:p>
  </w:footnote>
  <w:footnote w:type="continuationSeparator" w:id="0">
    <w:p w:rsidR="00B35E2C" w:rsidRDefault="001B1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F6" w:rsidRDefault="00255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E1" w:rsidRDefault="008E08E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F6" w:rsidRDefault="00255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60B"/>
    <w:multiLevelType w:val="multilevel"/>
    <w:tmpl w:val="A2B6D2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D4D6C"/>
    <w:multiLevelType w:val="hybridMultilevel"/>
    <w:tmpl w:val="EB269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063A3"/>
    <w:multiLevelType w:val="multilevel"/>
    <w:tmpl w:val="78A498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1B07195"/>
    <w:multiLevelType w:val="multilevel"/>
    <w:tmpl w:val="5344A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C25AE0"/>
    <w:multiLevelType w:val="multilevel"/>
    <w:tmpl w:val="158049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380234"/>
    <w:multiLevelType w:val="multilevel"/>
    <w:tmpl w:val="6D408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FD0800"/>
    <w:multiLevelType w:val="multilevel"/>
    <w:tmpl w:val="29946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8F2DD6"/>
    <w:multiLevelType w:val="multilevel"/>
    <w:tmpl w:val="49B86A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5D02CDE"/>
    <w:multiLevelType w:val="hybridMultilevel"/>
    <w:tmpl w:val="758E6ABA"/>
    <w:lvl w:ilvl="0" w:tplc="6CF0D282">
      <w:numFmt w:val="bullet"/>
      <w:lvlText w:val=""/>
      <w:lvlJc w:val="left"/>
      <w:pPr>
        <w:ind w:left="1440" w:hanging="360"/>
      </w:pPr>
      <w:rPr>
        <w:rFonts w:ascii="Symbol" w:eastAsia="Calibr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2E0D01"/>
    <w:multiLevelType w:val="hybridMultilevel"/>
    <w:tmpl w:val="92BA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14194"/>
    <w:multiLevelType w:val="multilevel"/>
    <w:tmpl w:val="FE2A5F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F6000B7"/>
    <w:multiLevelType w:val="multilevel"/>
    <w:tmpl w:val="3992E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DE3348"/>
    <w:multiLevelType w:val="hybridMultilevel"/>
    <w:tmpl w:val="5E484852"/>
    <w:lvl w:ilvl="0" w:tplc="76D09A6A">
      <w:numFmt w:val="bullet"/>
      <w:lvlText w:val=""/>
      <w:lvlJc w:val="left"/>
      <w:pPr>
        <w:ind w:left="1440" w:hanging="360"/>
      </w:pPr>
      <w:rPr>
        <w:rFonts w:ascii="Symbol" w:eastAsia="Calibri" w:hAnsi="Symbol"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10"/>
  </w:num>
  <w:num w:numId="8">
    <w:abstractNumId w:val="11"/>
  </w:num>
  <w:num w:numId="9">
    <w:abstractNumId w:val="3"/>
  </w:num>
  <w:num w:numId="10">
    <w:abstractNumId w:val="8"/>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E1"/>
    <w:rsid w:val="00015442"/>
    <w:rsid w:val="0003245E"/>
    <w:rsid w:val="0007087D"/>
    <w:rsid w:val="0011308F"/>
    <w:rsid w:val="00170940"/>
    <w:rsid w:val="001B1377"/>
    <w:rsid w:val="0021157B"/>
    <w:rsid w:val="00227A4D"/>
    <w:rsid w:val="002469F6"/>
    <w:rsid w:val="00255BF6"/>
    <w:rsid w:val="0027500D"/>
    <w:rsid w:val="002A4580"/>
    <w:rsid w:val="002A50ED"/>
    <w:rsid w:val="002A7D75"/>
    <w:rsid w:val="002D4E13"/>
    <w:rsid w:val="00302187"/>
    <w:rsid w:val="00305FFE"/>
    <w:rsid w:val="00306301"/>
    <w:rsid w:val="003262F5"/>
    <w:rsid w:val="00335B48"/>
    <w:rsid w:val="003966AD"/>
    <w:rsid w:val="003B549E"/>
    <w:rsid w:val="003E0753"/>
    <w:rsid w:val="00422E3A"/>
    <w:rsid w:val="004436A9"/>
    <w:rsid w:val="00471A8C"/>
    <w:rsid w:val="00475A88"/>
    <w:rsid w:val="004E395F"/>
    <w:rsid w:val="004E5328"/>
    <w:rsid w:val="004F26A3"/>
    <w:rsid w:val="00502009"/>
    <w:rsid w:val="00532D9F"/>
    <w:rsid w:val="00542482"/>
    <w:rsid w:val="005439A4"/>
    <w:rsid w:val="005625E9"/>
    <w:rsid w:val="00586305"/>
    <w:rsid w:val="00594ED1"/>
    <w:rsid w:val="00625E4E"/>
    <w:rsid w:val="00632A01"/>
    <w:rsid w:val="00635A0F"/>
    <w:rsid w:val="006416C7"/>
    <w:rsid w:val="006A5EE8"/>
    <w:rsid w:val="00763787"/>
    <w:rsid w:val="0082167D"/>
    <w:rsid w:val="00857203"/>
    <w:rsid w:val="00872C75"/>
    <w:rsid w:val="008A1E27"/>
    <w:rsid w:val="008A7592"/>
    <w:rsid w:val="008E08E1"/>
    <w:rsid w:val="00923A02"/>
    <w:rsid w:val="00945577"/>
    <w:rsid w:val="009E0EAD"/>
    <w:rsid w:val="009F2986"/>
    <w:rsid w:val="00A0654E"/>
    <w:rsid w:val="00A67D6B"/>
    <w:rsid w:val="00A7465E"/>
    <w:rsid w:val="00A95FCF"/>
    <w:rsid w:val="00AE0C13"/>
    <w:rsid w:val="00AF29BE"/>
    <w:rsid w:val="00B35E2C"/>
    <w:rsid w:val="00B37C7B"/>
    <w:rsid w:val="00B92100"/>
    <w:rsid w:val="00BC02C2"/>
    <w:rsid w:val="00BD2B57"/>
    <w:rsid w:val="00C75475"/>
    <w:rsid w:val="00D31C13"/>
    <w:rsid w:val="00D32D34"/>
    <w:rsid w:val="00D9236A"/>
    <w:rsid w:val="00DF4D2C"/>
    <w:rsid w:val="00ED5781"/>
    <w:rsid w:val="00F00FBB"/>
    <w:rsid w:val="00F03499"/>
    <w:rsid w:val="00F843DC"/>
    <w:rsid w:val="00F97A08"/>
    <w:rsid w:val="00FA1A48"/>
    <w:rsid w:val="00FB5701"/>
    <w:rsid w:val="00FD51EB"/>
    <w:rsid w:val="00FF6614"/>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A310999-6952-4C21-BA29-E89DE06B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D4E13"/>
    <w:rPr>
      <w:color w:val="0563C1"/>
      <w:u w:val="single"/>
    </w:rPr>
  </w:style>
  <w:style w:type="paragraph" w:styleId="ListParagraph">
    <w:name w:val="List Paragraph"/>
    <w:basedOn w:val="Normal"/>
    <w:uiPriority w:val="34"/>
    <w:qFormat/>
    <w:rsid w:val="002D4E13"/>
    <w:pPr>
      <w:ind w:left="720"/>
      <w:contextualSpacing/>
    </w:pPr>
  </w:style>
  <w:style w:type="paragraph" w:styleId="Header">
    <w:name w:val="header"/>
    <w:basedOn w:val="Normal"/>
    <w:link w:val="HeaderChar"/>
    <w:uiPriority w:val="99"/>
    <w:unhideWhenUsed/>
    <w:rsid w:val="00170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940"/>
  </w:style>
  <w:style w:type="paragraph" w:styleId="Footer">
    <w:name w:val="footer"/>
    <w:basedOn w:val="Normal"/>
    <w:link w:val="FooterChar"/>
    <w:uiPriority w:val="99"/>
    <w:unhideWhenUsed/>
    <w:rsid w:val="0017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940"/>
  </w:style>
  <w:style w:type="character" w:styleId="FollowedHyperlink">
    <w:name w:val="FollowedHyperlink"/>
    <w:basedOn w:val="DefaultParagraphFont"/>
    <w:uiPriority w:val="99"/>
    <w:semiHidden/>
    <w:unhideWhenUsed/>
    <w:rsid w:val="00ED5781"/>
    <w:rPr>
      <w:color w:val="800080" w:themeColor="followedHyperlink"/>
      <w:u w:val="single"/>
    </w:rPr>
  </w:style>
  <w:style w:type="paragraph" w:customStyle="1" w:styleId="Default">
    <w:name w:val="Default"/>
    <w:rsid w:val="005625E9"/>
    <w:pPr>
      <w:autoSpaceDE w:val="0"/>
      <w:autoSpaceDN w:val="0"/>
      <w:adjustRightInd w:val="0"/>
      <w:spacing w:after="0" w:line="240" w:lineRule="auto"/>
    </w:pPr>
    <w:rPr>
      <w:rFonts w:ascii="Trajan Pro" w:hAnsi="Trajan Pro" w:cs="Trajan Pro"/>
      <w:color w:val="000000"/>
      <w:sz w:val="24"/>
      <w:szCs w:val="24"/>
    </w:rPr>
  </w:style>
  <w:style w:type="character" w:customStyle="1" w:styleId="A0">
    <w:name w:val="A0"/>
    <w:uiPriority w:val="99"/>
    <w:rsid w:val="005625E9"/>
    <w:rPr>
      <w:rFonts w:cs="Trajan Pro"/>
      <w:b/>
      <w:bCs/>
      <w:color w:val="2B1A5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93830">
      <w:bodyDiv w:val="1"/>
      <w:marLeft w:val="0"/>
      <w:marRight w:val="0"/>
      <w:marTop w:val="0"/>
      <w:marBottom w:val="0"/>
      <w:divBdr>
        <w:top w:val="none" w:sz="0" w:space="0" w:color="auto"/>
        <w:left w:val="none" w:sz="0" w:space="0" w:color="auto"/>
        <w:bottom w:val="none" w:sz="0" w:space="0" w:color="auto"/>
        <w:right w:val="none" w:sz="0" w:space="0" w:color="auto"/>
      </w:divBdr>
    </w:div>
    <w:div w:id="173461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postsecondary/piipresent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e.state.co.us/postsecondary/ceab_operatingprocedures" TargetMode="External"/><Relationship Id="rId12" Type="http://schemas.openxmlformats.org/officeDocument/2006/relationships/hyperlink" Target="http://www.cde.state.co.us/postsecondary/ce_boardmeeting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postsecondary/hlcguideli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ighered.colorado.gov/Academics/Concurr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state.co.us/postsecondary/ceformssampledoc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Mary Anne</dc:creator>
  <cp:lastModifiedBy>Collett, Maggie</cp:lastModifiedBy>
  <cp:revision>2</cp:revision>
  <dcterms:created xsi:type="dcterms:W3CDTF">2019-01-25T20:00:00Z</dcterms:created>
  <dcterms:modified xsi:type="dcterms:W3CDTF">2019-01-25T20:00:00Z</dcterms:modified>
</cp:coreProperties>
</file>