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5000" w:type="pct"/>
        <w:tblLayout w:type="fixed"/>
        <w:tblLook w:val="04A0" w:firstRow="1" w:lastRow="0" w:firstColumn="1" w:lastColumn="0" w:noHBand="0" w:noVBand="1"/>
      </w:tblPr>
      <w:tblGrid>
        <w:gridCol w:w="720"/>
        <w:gridCol w:w="8630"/>
      </w:tblGrid>
      <w:tr w:rsidR="00781409" w:rsidRPr="009732F4" w14:paraId="467AF57C" w14:textId="77777777" w:rsidTr="004E1573">
        <w:trPr>
          <w:trHeight w:val="530"/>
        </w:trPr>
        <w:tc>
          <w:tcPr>
            <w:tcW w:w="5000" w:type="pct"/>
            <w:gridSpan w:val="2"/>
            <w:shd w:val="pct15" w:color="auto" w:fill="auto"/>
            <w:vAlign w:val="center"/>
          </w:tcPr>
          <w:p w14:paraId="5292029C" w14:textId="77777777" w:rsidR="00781409" w:rsidRPr="00B94B0C" w:rsidRDefault="00781409" w:rsidP="00B94B0C">
            <w:pPr>
              <w:jc w:val="center"/>
            </w:pPr>
            <w:r w:rsidRPr="00B94B0C">
              <w:rPr>
                <w:b/>
              </w:rPr>
              <w:t>Off-Site Questions</w:t>
            </w:r>
          </w:p>
        </w:tc>
      </w:tr>
      <w:tr w:rsidR="00781409" w:rsidRPr="00B94B0C" w14:paraId="70896321" w14:textId="77777777" w:rsidTr="004E1573">
        <w:trPr>
          <w:trHeight w:val="719"/>
        </w:trPr>
        <w:tc>
          <w:tcPr>
            <w:tcW w:w="385" w:type="pct"/>
            <w:shd w:val="pct15" w:color="auto" w:fill="auto"/>
          </w:tcPr>
          <w:p w14:paraId="76287594" w14:textId="77777777" w:rsidR="00781409" w:rsidRPr="00B94B0C" w:rsidRDefault="00781409" w:rsidP="00B94B0C">
            <w:pPr>
              <w:spacing w:beforeLines="60" w:before="144" w:afterLines="60" w:after="144"/>
            </w:pPr>
            <w:r w:rsidRPr="00B94B0C">
              <w:t>800.</w:t>
            </w:r>
          </w:p>
        </w:tc>
        <w:tc>
          <w:tcPr>
            <w:tcW w:w="4615" w:type="pct"/>
            <w:vAlign w:val="center"/>
          </w:tcPr>
          <w:p w14:paraId="09339F50" w14:textId="77777777" w:rsidR="00781409" w:rsidRPr="00B94B0C" w:rsidRDefault="00781409" w:rsidP="00B94B0C">
            <w:r w:rsidRPr="00B94B0C">
              <w:t>What is the non-discrimination statement used for appropriate Program materials?  Please provide exact language.</w:t>
            </w:r>
          </w:p>
          <w:p w14:paraId="1C736CF2" w14:textId="77777777" w:rsidR="00747C12" w:rsidRDefault="00747C12" w:rsidP="00747C12">
            <w:pPr>
              <w:spacing w:beforeLines="60" w:before="144" w:afterLines="60" w:after="144"/>
              <w:rPr>
                <w:b/>
                <w:color w:val="FF0000"/>
              </w:rPr>
            </w:pPr>
            <w:r w:rsidRPr="00B94B0C">
              <w:rPr>
                <w:b/>
                <w:color w:val="FF0000"/>
              </w:rPr>
              <w:t xml:space="preserve">Tips: </w:t>
            </w:r>
          </w:p>
          <w:p w14:paraId="47CB6514" w14:textId="62612D36" w:rsidR="00E001C7" w:rsidRPr="00272321" w:rsidRDefault="00E001C7" w:rsidP="00E001C7">
            <w:pPr>
              <w:spacing w:beforeLines="60" w:before="144" w:afterLines="60" w:after="144"/>
              <w:rPr>
                <w:rFonts w:eastAsiaTheme="minorHAnsi"/>
                <w:bCs/>
                <w:color w:val="FF0000"/>
              </w:rPr>
            </w:pPr>
            <w:r w:rsidRPr="00B94B0C">
              <w:rPr>
                <w:rFonts w:eastAsiaTheme="minorHAnsi"/>
                <w:color w:val="FF0000"/>
              </w:rPr>
              <w:t>The nondiscrimination statement must be included on all program materials, including the SFA’s website. If the material is too small to permit the full statement, the abbreviated statement must be included in the same font size as the rest of the material’s text. Note: the full statement can be in smaller font size</w:t>
            </w:r>
            <w:r>
              <w:rPr>
                <w:rFonts w:eastAsiaTheme="minorHAnsi"/>
                <w:color w:val="FF0000"/>
              </w:rPr>
              <w:t xml:space="preserve"> but no smaller than a </w:t>
            </w:r>
            <w:r w:rsidR="00390F35">
              <w:rPr>
                <w:rFonts w:eastAsiaTheme="minorHAnsi"/>
                <w:color w:val="FF0000"/>
              </w:rPr>
              <w:t>9-point</w:t>
            </w:r>
            <w:r>
              <w:rPr>
                <w:rFonts w:eastAsiaTheme="minorHAnsi"/>
                <w:color w:val="FF0000"/>
              </w:rPr>
              <w:t xml:space="preserve"> font</w:t>
            </w:r>
            <w:r w:rsidRPr="00B94B0C">
              <w:rPr>
                <w:rFonts w:eastAsiaTheme="minorHAnsi"/>
                <w:color w:val="FF0000"/>
              </w:rPr>
              <w:t>.</w:t>
            </w:r>
            <w:r>
              <w:rPr>
                <w:rFonts w:eastAsiaTheme="minorHAnsi"/>
                <w:b/>
                <w:color w:val="FF0000"/>
              </w:rPr>
              <w:t xml:space="preserve"> </w:t>
            </w:r>
            <w:r>
              <w:rPr>
                <w:rFonts w:eastAsiaTheme="minorHAnsi"/>
                <w:bCs/>
                <w:color w:val="FF0000"/>
              </w:rPr>
              <w:t xml:space="preserve">Both the full and shortened statement must contain exact wording. </w:t>
            </w:r>
          </w:p>
          <w:p w14:paraId="2F9F04B6" w14:textId="063CB0F4" w:rsidR="00E001C7" w:rsidRPr="002D548A" w:rsidRDefault="00660EB1" w:rsidP="00E001C7">
            <w:pPr>
              <w:pStyle w:val="ListParagraph"/>
              <w:numPr>
                <w:ilvl w:val="0"/>
                <w:numId w:val="21"/>
              </w:numPr>
            </w:pPr>
            <w:hyperlink r:id="rId7" w:anchor="nondiscrimination" w:history="1">
              <w:r w:rsidR="00E001C7" w:rsidRPr="00660EB1">
                <w:rPr>
                  <w:rStyle w:val="Hyperlink"/>
                  <w:rFonts w:eastAsiaTheme="minorHAnsi"/>
                </w:rPr>
                <w:t>Nondiscrimination Statement</w:t>
              </w:r>
            </w:hyperlink>
          </w:p>
          <w:p w14:paraId="02848A72" w14:textId="77777777" w:rsidR="00E001C7" w:rsidRPr="006B4B20" w:rsidRDefault="00E001C7" w:rsidP="00E001C7">
            <w:pPr>
              <w:pStyle w:val="ListParagraph"/>
              <w:numPr>
                <w:ilvl w:val="0"/>
                <w:numId w:val="20"/>
              </w:numPr>
              <w:rPr>
                <w:rFonts w:eastAsiaTheme="minorHAnsi"/>
                <w:b/>
                <w:color w:val="FF0000"/>
              </w:rPr>
            </w:pPr>
            <w:r w:rsidRPr="006B4B20">
              <w:rPr>
                <w:rFonts w:eastAsiaTheme="minorHAnsi"/>
                <w:color w:val="FF0000"/>
              </w:rPr>
              <w:t xml:space="preserve">Abbreviated Statement - </w:t>
            </w:r>
            <w:r w:rsidRPr="006B4B20">
              <w:rPr>
                <w:rFonts w:eastAsiaTheme="minorHAnsi"/>
                <w:b/>
                <w:color w:val="FF0000"/>
              </w:rPr>
              <w:t>“</w:t>
            </w:r>
            <w:r w:rsidRPr="006B4B20">
              <w:rPr>
                <w:rFonts w:eastAsiaTheme="minorHAnsi"/>
                <w:color w:val="FF0000"/>
              </w:rPr>
              <w:t xml:space="preserve">This institution is an equal opportunity provider.” </w:t>
            </w:r>
          </w:p>
          <w:p w14:paraId="31BFE01A" w14:textId="77777777" w:rsidR="00E001C7" w:rsidRDefault="00E001C7" w:rsidP="00E001C7">
            <w:pPr>
              <w:pStyle w:val="NoSpacing"/>
              <w:rPr>
                <w:color w:val="FF0000"/>
              </w:rPr>
            </w:pPr>
          </w:p>
          <w:p w14:paraId="2D081FE4" w14:textId="772EAC93" w:rsidR="00B94B0C" w:rsidRPr="00E001C7" w:rsidRDefault="00E001C7" w:rsidP="00E001C7">
            <w:pPr>
              <w:pStyle w:val="NoSpacing"/>
              <w:rPr>
                <w:color w:val="FF0000"/>
              </w:rPr>
            </w:pPr>
            <w:r>
              <w:rPr>
                <w:color w:val="FF0000"/>
              </w:rPr>
              <w:t xml:space="preserve">The full non-discrimination statement was updated in the spring of 2022. The deadline to update the full NDS on program websites was August 3, 2022. Other documents, pamphlets, brochures, etc. must be updated when the current supply is exhausted or by September 30, 2023. </w:t>
            </w:r>
          </w:p>
          <w:p w14:paraId="2BBC43FF" w14:textId="77777777" w:rsidR="00B94B0C" w:rsidRPr="00B94B0C" w:rsidRDefault="00B94B0C" w:rsidP="00B94B0C">
            <w:pPr>
              <w:rPr>
                <w:color w:val="FF0000"/>
              </w:rPr>
            </w:pPr>
          </w:p>
        </w:tc>
      </w:tr>
      <w:tr w:rsidR="00781409" w:rsidRPr="00B94B0C" w14:paraId="642E4994" w14:textId="77777777" w:rsidTr="004E1573">
        <w:trPr>
          <w:trHeight w:val="422"/>
        </w:trPr>
        <w:tc>
          <w:tcPr>
            <w:tcW w:w="385" w:type="pct"/>
            <w:shd w:val="pct15" w:color="auto" w:fill="auto"/>
          </w:tcPr>
          <w:p w14:paraId="61ACCC7E" w14:textId="77777777" w:rsidR="00781409" w:rsidRPr="00B94B0C" w:rsidRDefault="00781409" w:rsidP="00B94B0C">
            <w:pPr>
              <w:spacing w:beforeLines="60" w:before="144" w:afterLines="60" w:after="144"/>
            </w:pPr>
            <w:r w:rsidRPr="00B94B0C">
              <w:t>801.</w:t>
            </w:r>
          </w:p>
        </w:tc>
        <w:tc>
          <w:tcPr>
            <w:tcW w:w="4615" w:type="pct"/>
            <w:vAlign w:val="center"/>
          </w:tcPr>
          <w:p w14:paraId="3D2DE001" w14:textId="77777777" w:rsidR="00781409" w:rsidRDefault="00901A3D" w:rsidP="00B94B0C">
            <w:r>
              <w:t>Did the School Food Authority publish a public release as required for the school year being reviewed? Provide a copy.</w:t>
            </w:r>
          </w:p>
          <w:p w14:paraId="23F76539" w14:textId="77777777" w:rsidR="00B94B0C" w:rsidRDefault="00B94B0C" w:rsidP="00B94B0C">
            <w:pPr>
              <w:rPr>
                <w:rFonts w:cs="Calibri"/>
                <w:b/>
                <w:color w:val="FF0000"/>
              </w:rPr>
            </w:pPr>
          </w:p>
          <w:p w14:paraId="64F313E5" w14:textId="77777777" w:rsidR="006B4B20" w:rsidRDefault="00B94B0C" w:rsidP="00B94B0C">
            <w:pPr>
              <w:rPr>
                <w:rFonts w:cs="Calibri"/>
                <w:color w:val="FF0000"/>
              </w:rPr>
            </w:pPr>
            <w:r w:rsidRPr="00B94B0C">
              <w:rPr>
                <w:rFonts w:cs="Calibri"/>
                <w:b/>
                <w:color w:val="FF0000"/>
              </w:rPr>
              <w:t>Tips:</w:t>
            </w:r>
            <w:r>
              <w:rPr>
                <w:rFonts w:cs="Calibri"/>
                <w:color w:val="FF0000"/>
              </w:rPr>
              <w:t xml:space="preserve"> </w:t>
            </w:r>
          </w:p>
          <w:p w14:paraId="5C4F3060" w14:textId="28606E7A" w:rsidR="00B94B0C" w:rsidRDefault="00B94B0C" w:rsidP="00B94B0C">
            <w:pPr>
              <w:rPr>
                <w:rFonts w:cs="Calibri"/>
                <w:color w:val="FF0000"/>
              </w:rPr>
            </w:pPr>
            <w:r w:rsidRPr="00B94B0C">
              <w:rPr>
                <w:rFonts w:cs="Calibri"/>
                <w:color w:val="FF0000"/>
              </w:rPr>
              <w:t>SFAs must send a public release announcing their participation in the program to local media or post in a public place yearly</w:t>
            </w:r>
            <w:r w:rsidR="005B4B05">
              <w:rPr>
                <w:rFonts w:cs="Calibri"/>
                <w:color w:val="FF0000"/>
              </w:rPr>
              <w:t xml:space="preserve">. </w:t>
            </w:r>
            <w:r w:rsidR="005B4B05" w:rsidRPr="00B94B0C">
              <w:rPr>
                <w:rFonts w:cs="Calibri"/>
                <w:color w:val="FF0000"/>
              </w:rPr>
              <w:t xml:space="preserve">The public release must include: the household size and income criteria for eligibility and the nondiscrimination statement. If the SFA does not use the </w:t>
            </w:r>
            <w:r w:rsidR="005B4B05">
              <w:rPr>
                <w:rFonts w:cs="Calibri"/>
                <w:color w:val="FF0000"/>
              </w:rPr>
              <w:t>CDE School Nutrition</w:t>
            </w:r>
            <w:r w:rsidR="005B4B05" w:rsidRPr="00B94B0C">
              <w:rPr>
                <w:rFonts w:cs="Calibri"/>
                <w:color w:val="FF0000"/>
              </w:rPr>
              <w:t xml:space="preserve"> prototype, compare their public release to </w:t>
            </w:r>
            <w:r w:rsidR="005B4B05">
              <w:rPr>
                <w:rFonts w:cs="Calibri"/>
                <w:color w:val="FF0000"/>
              </w:rPr>
              <w:t>CDE School Nutrition</w:t>
            </w:r>
            <w:r w:rsidR="005B4B05" w:rsidRPr="00B94B0C">
              <w:rPr>
                <w:rFonts w:cs="Calibri"/>
                <w:color w:val="FF0000"/>
              </w:rPr>
              <w:t>’s</w:t>
            </w:r>
            <w:r w:rsidR="00B61163">
              <w:rPr>
                <w:rFonts w:cs="Calibri"/>
                <w:color w:val="FF0000"/>
              </w:rPr>
              <w:t xml:space="preserve"> – starting SY 2016-17, CDE </w:t>
            </w:r>
            <w:r w:rsidR="00537D5A">
              <w:rPr>
                <w:rFonts w:cs="Calibri"/>
                <w:color w:val="FF0000"/>
              </w:rPr>
              <w:t>School Nutrition</w:t>
            </w:r>
            <w:r w:rsidR="00B61163">
              <w:rPr>
                <w:rFonts w:cs="Calibri"/>
                <w:color w:val="FF0000"/>
              </w:rPr>
              <w:t xml:space="preserve"> will be sending out a public release for each SFA</w:t>
            </w:r>
            <w:r w:rsidRPr="00B94B0C">
              <w:rPr>
                <w:rFonts w:cs="Calibri"/>
                <w:color w:val="FF0000"/>
              </w:rPr>
              <w:t xml:space="preserve">. </w:t>
            </w:r>
          </w:p>
          <w:p w14:paraId="64FFBA33" w14:textId="77777777" w:rsidR="00D668A7" w:rsidRDefault="00D668A7" w:rsidP="00B94B0C">
            <w:pPr>
              <w:rPr>
                <w:rFonts w:cs="Calibri"/>
                <w:color w:val="FF0000"/>
              </w:rPr>
            </w:pPr>
          </w:p>
          <w:p w14:paraId="5E21B7E0" w14:textId="7A9DC2D1" w:rsidR="006B4B20" w:rsidRPr="0001510C" w:rsidRDefault="00B94B0C" w:rsidP="00B94B0C">
            <w:pPr>
              <w:rPr>
                <w:rFonts w:cs="Calibri"/>
                <w:b/>
                <w:color w:val="FF0000"/>
              </w:rPr>
            </w:pPr>
            <w:r>
              <w:rPr>
                <w:rFonts w:cs="Calibri"/>
                <w:b/>
                <w:color w:val="FF0000"/>
              </w:rPr>
              <w:t xml:space="preserve">Resources: </w:t>
            </w:r>
          </w:p>
          <w:p w14:paraId="6A230EE4" w14:textId="7C1ACF9D" w:rsidR="00FA4561" w:rsidRPr="00245D97" w:rsidRDefault="00660EB1" w:rsidP="00245D97">
            <w:pPr>
              <w:pStyle w:val="ListParagraph"/>
              <w:numPr>
                <w:ilvl w:val="0"/>
                <w:numId w:val="16"/>
              </w:numPr>
              <w:rPr>
                <w:color w:val="FF0000"/>
              </w:rPr>
            </w:pPr>
            <w:r>
              <w:rPr>
                <w:rFonts w:cs="Calibri"/>
                <w:color w:val="FF0000"/>
              </w:rPr>
              <w:t xml:space="preserve">View the </w:t>
            </w:r>
            <w:r w:rsidR="00FA4561" w:rsidRPr="00245D97">
              <w:rPr>
                <w:rFonts w:cs="Calibri"/>
                <w:color w:val="FF0000"/>
              </w:rPr>
              <w:t>Public Release</w:t>
            </w:r>
            <w:r>
              <w:rPr>
                <w:rFonts w:cs="Calibri"/>
                <w:color w:val="FF0000"/>
              </w:rPr>
              <w:t xml:space="preserve"> templates on the </w:t>
            </w:r>
            <w:hyperlink r:id="rId8" w:history="1">
              <w:r w:rsidRPr="00660EB1">
                <w:rPr>
                  <w:rStyle w:val="Hyperlink"/>
                  <w:rFonts w:cs="Calibri"/>
                </w:rPr>
                <w:t>Determine School Meal Eligibility webpage</w:t>
              </w:r>
            </w:hyperlink>
          </w:p>
          <w:p w14:paraId="37055F85" w14:textId="7280381B" w:rsidR="00245D97" w:rsidRPr="00D668A7" w:rsidRDefault="00245D97" w:rsidP="002D548A">
            <w:pPr>
              <w:pStyle w:val="ListParagraph"/>
              <w:rPr>
                <w:color w:val="FF0000"/>
              </w:rPr>
            </w:pPr>
          </w:p>
        </w:tc>
      </w:tr>
      <w:tr w:rsidR="00781409" w:rsidRPr="00B94B0C" w14:paraId="07A5309B" w14:textId="77777777" w:rsidTr="004E1573">
        <w:trPr>
          <w:trHeight w:val="593"/>
        </w:trPr>
        <w:tc>
          <w:tcPr>
            <w:tcW w:w="385" w:type="pct"/>
            <w:shd w:val="pct15" w:color="auto" w:fill="auto"/>
          </w:tcPr>
          <w:p w14:paraId="5EC9B1EB" w14:textId="77777777" w:rsidR="00781409" w:rsidRPr="00B94B0C" w:rsidRDefault="00781409" w:rsidP="00B94B0C">
            <w:pPr>
              <w:spacing w:beforeLines="60" w:before="144" w:afterLines="60" w:after="144"/>
            </w:pPr>
            <w:r w:rsidRPr="00B94B0C">
              <w:t>802.</w:t>
            </w:r>
          </w:p>
        </w:tc>
        <w:tc>
          <w:tcPr>
            <w:tcW w:w="4615" w:type="pct"/>
          </w:tcPr>
          <w:p w14:paraId="7ABB6793" w14:textId="77777777" w:rsidR="001456C0" w:rsidRDefault="001456C0" w:rsidP="00D668A7">
            <w:pPr>
              <w:spacing w:beforeLines="60" w:before="144" w:afterLines="60" w:after="144"/>
              <w:rPr>
                <w:rFonts w:cs="Calibri"/>
              </w:rPr>
            </w:pPr>
            <w:r w:rsidRPr="001456C0">
              <w:rPr>
                <w:rFonts w:cs="Calibri"/>
              </w:rPr>
              <w:t>What services does the SFA provide to</w:t>
            </w:r>
            <w:r w:rsidR="00901A3D">
              <w:rPr>
                <w:rFonts w:cs="Calibri"/>
              </w:rPr>
              <w:t xml:space="preserve"> households comprised of persons with</w:t>
            </w:r>
            <w:r w:rsidRPr="001456C0">
              <w:rPr>
                <w:rFonts w:cs="Calibri"/>
              </w:rPr>
              <w:t xml:space="preserve"> Limited English Proficient (LEP)?</w:t>
            </w:r>
          </w:p>
          <w:p w14:paraId="02815F21" w14:textId="77777777" w:rsidR="006B4B20" w:rsidRDefault="00D668A7" w:rsidP="00D668A7">
            <w:pPr>
              <w:spacing w:beforeLines="60" w:before="144" w:afterLines="60" w:after="144"/>
              <w:rPr>
                <w:rFonts w:cs="Calibri"/>
                <w:b/>
                <w:color w:val="FF0000"/>
              </w:rPr>
            </w:pPr>
            <w:r w:rsidRPr="00D668A7">
              <w:rPr>
                <w:rFonts w:cs="Calibri"/>
                <w:b/>
                <w:color w:val="FF0000"/>
              </w:rPr>
              <w:t>Tips:</w:t>
            </w:r>
          </w:p>
          <w:p w14:paraId="205587D6" w14:textId="77777777" w:rsidR="00E001C7" w:rsidRPr="00D668A7" w:rsidRDefault="00E001C7" w:rsidP="00E001C7">
            <w:pPr>
              <w:spacing w:beforeLines="60" w:before="144" w:afterLines="60" w:after="144"/>
              <w:rPr>
                <w:rFonts w:eastAsiaTheme="minorHAnsi"/>
                <w:color w:val="FF0000"/>
              </w:rPr>
            </w:pPr>
            <w:r w:rsidRPr="00D668A7">
              <w:rPr>
                <w:rFonts w:eastAsiaTheme="minorHAnsi"/>
                <w:color w:val="FF0000"/>
              </w:rPr>
              <w:t xml:space="preserve">SFAs must take reasonable steps to assure meaningful access </w:t>
            </w:r>
            <w:r>
              <w:rPr>
                <w:rFonts w:cs="Calibri"/>
                <w:color w:val="FF0000"/>
              </w:rPr>
              <w:t xml:space="preserve">for LEP households </w:t>
            </w:r>
            <w:r w:rsidRPr="00D668A7">
              <w:rPr>
                <w:rFonts w:eastAsiaTheme="minorHAnsi"/>
                <w:color w:val="FF0000"/>
              </w:rPr>
              <w:t xml:space="preserve">to the information and services they provide. What constitutes reasonable steps will be factored on the following: </w:t>
            </w:r>
          </w:p>
          <w:p w14:paraId="0C48DAC9" w14:textId="77777777" w:rsidR="00E001C7" w:rsidRPr="00D668A7" w:rsidRDefault="00E001C7" w:rsidP="00E001C7">
            <w:pPr>
              <w:numPr>
                <w:ilvl w:val="0"/>
                <w:numId w:val="13"/>
              </w:numPr>
              <w:rPr>
                <w:rFonts w:eastAsiaTheme="minorHAnsi"/>
                <w:color w:val="FF0000"/>
              </w:rPr>
            </w:pPr>
            <w:r w:rsidRPr="00D668A7">
              <w:rPr>
                <w:rFonts w:eastAsiaTheme="minorHAnsi"/>
                <w:color w:val="FF0000"/>
              </w:rPr>
              <w:t>The number or proportion of LEP persons to be served or likely to be encountered (the greater the number, the more likely language services are needed).</w:t>
            </w:r>
          </w:p>
          <w:p w14:paraId="61FE13C7" w14:textId="77777777" w:rsidR="00E001C7" w:rsidRPr="00D668A7" w:rsidRDefault="00E001C7" w:rsidP="00E001C7">
            <w:pPr>
              <w:numPr>
                <w:ilvl w:val="0"/>
                <w:numId w:val="13"/>
              </w:numPr>
              <w:rPr>
                <w:rFonts w:eastAsiaTheme="minorHAnsi"/>
                <w:color w:val="FF0000"/>
              </w:rPr>
            </w:pPr>
            <w:r w:rsidRPr="00D668A7">
              <w:rPr>
                <w:rFonts w:eastAsiaTheme="minorHAnsi"/>
                <w:color w:val="FF0000"/>
              </w:rPr>
              <w:t xml:space="preserve">The frequency with which LEP individuals </w:t>
            </w:r>
            <w:proofErr w:type="gramStart"/>
            <w:r w:rsidRPr="00D668A7">
              <w:rPr>
                <w:rFonts w:eastAsiaTheme="minorHAnsi"/>
                <w:color w:val="FF0000"/>
              </w:rPr>
              <w:t>come in contact with</w:t>
            </w:r>
            <w:proofErr w:type="gramEnd"/>
            <w:r w:rsidRPr="00D668A7">
              <w:rPr>
                <w:rFonts w:eastAsiaTheme="minorHAnsi"/>
                <w:color w:val="FF0000"/>
              </w:rPr>
              <w:t xml:space="preserve"> the program (one time basis versus daily basis)</w:t>
            </w:r>
          </w:p>
          <w:p w14:paraId="6B49B36C" w14:textId="77777777" w:rsidR="00E001C7" w:rsidRDefault="00E001C7" w:rsidP="00E001C7">
            <w:pPr>
              <w:numPr>
                <w:ilvl w:val="0"/>
                <w:numId w:val="13"/>
              </w:numPr>
              <w:rPr>
                <w:rFonts w:eastAsiaTheme="minorHAnsi"/>
                <w:color w:val="FF0000"/>
              </w:rPr>
            </w:pPr>
            <w:r w:rsidRPr="00D668A7">
              <w:rPr>
                <w:rFonts w:eastAsiaTheme="minorHAnsi"/>
                <w:color w:val="FF0000"/>
              </w:rPr>
              <w:t>The nature and importance of the program to the people’s lives</w:t>
            </w:r>
          </w:p>
          <w:p w14:paraId="61F37261" w14:textId="7BC96D5B" w:rsidR="00D668A7" w:rsidRPr="00E001C7" w:rsidRDefault="00E001C7" w:rsidP="00E001C7">
            <w:pPr>
              <w:numPr>
                <w:ilvl w:val="0"/>
                <w:numId w:val="13"/>
              </w:numPr>
              <w:rPr>
                <w:rFonts w:eastAsiaTheme="minorHAnsi"/>
                <w:color w:val="FF0000"/>
              </w:rPr>
            </w:pPr>
            <w:r w:rsidRPr="00D668A7">
              <w:rPr>
                <w:rFonts w:eastAsiaTheme="minorHAnsi"/>
                <w:color w:val="FF0000"/>
              </w:rPr>
              <w:t xml:space="preserve">The resources available and costs for providing services. </w:t>
            </w:r>
            <w:r>
              <w:rPr>
                <w:rFonts w:eastAsiaTheme="minorHAnsi"/>
                <w:color w:val="FF0000"/>
              </w:rPr>
              <w:t>SFAs may use qualified b</w:t>
            </w:r>
            <w:r w:rsidRPr="00D668A7">
              <w:rPr>
                <w:rFonts w:eastAsiaTheme="minorHAnsi"/>
                <w:color w:val="FF0000"/>
              </w:rPr>
              <w:t xml:space="preserve">ilingual staff to act as interpreters, hire translators, provide materials in alternate </w:t>
            </w:r>
            <w:r w:rsidRPr="00D668A7">
              <w:rPr>
                <w:rFonts w:eastAsiaTheme="minorHAnsi"/>
                <w:color w:val="FF0000"/>
              </w:rPr>
              <w:lastRenderedPageBreak/>
              <w:t>languages, etc. Note: limited resources/cost does not eliminate the requirement to provide services to LEP individuals.</w:t>
            </w:r>
          </w:p>
          <w:p w14:paraId="5377CF8D" w14:textId="77777777" w:rsidR="0067319D" w:rsidRDefault="0067319D" w:rsidP="00D668A7">
            <w:pPr>
              <w:rPr>
                <w:rFonts w:eastAsiaTheme="minorHAnsi"/>
                <w:b/>
                <w:color w:val="FF0000"/>
              </w:rPr>
            </w:pPr>
          </w:p>
          <w:p w14:paraId="366225AC" w14:textId="77777777" w:rsidR="00D668A7" w:rsidRDefault="00D668A7" w:rsidP="00D668A7">
            <w:pPr>
              <w:rPr>
                <w:rFonts w:eastAsiaTheme="minorHAnsi"/>
                <w:b/>
                <w:color w:val="FF0000"/>
              </w:rPr>
            </w:pPr>
            <w:r>
              <w:rPr>
                <w:rFonts w:eastAsiaTheme="minorHAnsi"/>
                <w:b/>
                <w:color w:val="FF0000"/>
              </w:rPr>
              <w:t xml:space="preserve">Resources: </w:t>
            </w:r>
          </w:p>
          <w:p w14:paraId="30085E3E" w14:textId="69F02D99" w:rsidR="00660EB1" w:rsidRPr="00660EB1" w:rsidRDefault="00660EB1" w:rsidP="00660EB1">
            <w:pPr>
              <w:pStyle w:val="ListParagraph"/>
              <w:numPr>
                <w:ilvl w:val="0"/>
                <w:numId w:val="16"/>
              </w:numPr>
              <w:rPr>
                <w:color w:val="FF0000"/>
              </w:rPr>
            </w:pPr>
            <w:r>
              <w:rPr>
                <w:rFonts w:cs="Calibri"/>
                <w:color w:val="FF0000"/>
              </w:rPr>
              <w:t xml:space="preserve">View the </w:t>
            </w:r>
            <w:r>
              <w:rPr>
                <w:rFonts w:cs="Calibri"/>
                <w:color w:val="FF0000"/>
              </w:rPr>
              <w:t>eligibility documents in Spanish</w:t>
            </w:r>
            <w:r>
              <w:rPr>
                <w:rFonts w:cs="Calibri"/>
                <w:color w:val="FF0000"/>
              </w:rPr>
              <w:t xml:space="preserve"> on the </w:t>
            </w:r>
            <w:hyperlink r:id="rId9" w:history="1">
              <w:r w:rsidRPr="00660EB1">
                <w:rPr>
                  <w:rStyle w:val="Hyperlink"/>
                  <w:rFonts w:cs="Calibri"/>
                </w:rPr>
                <w:t>Determine School Meal Eligibility webpage</w:t>
              </w:r>
            </w:hyperlink>
          </w:p>
          <w:p w14:paraId="5ACE45BF" w14:textId="513E95FD" w:rsidR="00660EB1" w:rsidRPr="00245D97" w:rsidRDefault="00660EB1" w:rsidP="00660EB1">
            <w:pPr>
              <w:pStyle w:val="ListParagraph"/>
              <w:numPr>
                <w:ilvl w:val="0"/>
                <w:numId w:val="16"/>
              </w:numPr>
              <w:rPr>
                <w:color w:val="FF0000"/>
              </w:rPr>
            </w:pPr>
            <w:hyperlink r:id="rId10" w:history="1">
              <w:r w:rsidRPr="00660EB1">
                <w:rPr>
                  <w:rStyle w:val="Hyperlink"/>
                </w:rPr>
                <w:t>View outreach materials in Spanish</w:t>
              </w:r>
            </w:hyperlink>
          </w:p>
          <w:p w14:paraId="70805E0E" w14:textId="77777777" w:rsidR="00D668A7" w:rsidRPr="006B4B20" w:rsidRDefault="00D668A7">
            <w:pPr>
              <w:rPr>
                <w:rFonts w:eastAsiaTheme="minorHAnsi"/>
                <w:color w:val="FF0000"/>
              </w:rPr>
            </w:pPr>
          </w:p>
        </w:tc>
      </w:tr>
      <w:tr w:rsidR="00781409" w:rsidRPr="00B94B0C" w14:paraId="74F92575" w14:textId="77777777" w:rsidTr="004E1573">
        <w:trPr>
          <w:trHeight w:val="845"/>
        </w:trPr>
        <w:tc>
          <w:tcPr>
            <w:tcW w:w="385" w:type="pct"/>
            <w:shd w:val="pct15" w:color="auto" w:fill="auto"/>
          </w:tcPr>
          <w:p w14:paraId="674664FA" w14:textId="77777777" w:rsidR="00781409" w:rsidRPr="00B94B0C" w:rsidRDefault="00781409" w:rsidP="00B94B0C">
            <w:pPr>
              <w:spacing w:beforeLines="60" w:before="144" w:afterLines="60" w:after="144"/>
            </w:pPr>
            <w:r w:rsidRPr="00B94B0C">
              <w:lastRenderedPageBreak/>
              <w:t>803.</w:t>
            </w:r>
          </w:p>
        </w:tc>
        <w:tc>
          <w:tcPr>
            <w:tcW w:w="4615" w:type="pct"/>
            <w:vAlign w:val="center"/>
          </w:tcPr>
          <w:p w14:paraId="129CAD47" w14:textId="77777777" w:rsidR="00781409" w:rsidRDefault="00781409" w:rsidP="00B94B0C">
            <w:pPr>
              <w:spacing w:beforeLines="60" w:before="144" w:afterLines="60" w:after="144"/>
              <w:contextualSpacing/>
            </w:pPr>
            <w:r w:rsidRPr="00B94B0C">
              <w:t xml:space="preserve">What is the SFA’s procedure for receiving and processing complaints alleging discrimination within FNS School Meal Programs?  </w:t>
            </w:r>
            <w:r w:rsidR="00901A3D">
              <w:t>P</w:t>
            </w:r>
            <w:r w:rsidRPr="00B94B0C">
              <w:t>rovide a copy.</w:t>
            </w:r>
          </w:p>
          <w:p w14:paraId="1FB04A32" w14:textId="77777777" w:rsidR="006B4B20" w:rsidRDefault="007F3FD8" w:rsidP="007F3FD8">
            <w:pPr>
              <w:spacing w:beforeLines="60" w:before="144" w:afterLines="60" w:after="144"/>
              <w:rPr>
                <w:b/>
                <w:color w:val="FF0000"/>
              </w:rPr>
            </w:pPr>
            <w:r>
              <w:rPr>
                <w:b/>
                <w:color w:val="FF0000"/>
              </w:rPr>
              <w:t xml:space="preserve">Tips: </w:t>
            </w:r>
          </w:p>
          <w:p w14:paraId="491B2BFE" w14:textId="1374A98F" w:rsidR="007F3FD8" w:rsidRPr="007F3FD8" w:rsidRDefault="007F3FD8" w:rsidP="007F3FD8">
            <w:pPr>
              <w:spacing w:beforeLines="60" w:before="144" w:afterLines="60" w:after="144"/>
              <w:rPr>
                <w:rFonts w:eastAsiaTheme="minorHAnsi"/>
                <w:color w:val="FF0000"/>
              </w:rPr>
            </w:pPr>
            <w:r w:rsidRPr="007F3FD8">
              <w:rPr>
                <w:rFonts w:eastAsiaTheme="minorHAnsi"/>
                <w:color w:val="FF0000"/>
              </w:rPr>
              <w:t>All applicants and participants must be advised of their right to file a complaint, how to file a complaint, and th</w:t>
            </w:r>
            <w:r>
              <w:rPr>
                <w:rFonts w:eastAsiaTheme="minorHAnsi"/>
                <w:color w:val="FF0000"/>
              </w:rPr>
              <w:t>e complaint procedures. All SFA</w:t>
            </w:r>
            <w:r w:rsidRPr="007F3FD8">
              <w:rPr>
                <w:rFonts w:eastAsiaTheme="minorHAnsi"/>
                <w:color w:val="FF0000"/>
              </w:rPr>
              <w:t xml:space="preserve">s should have a civil rights complaint procedure in place. </w:t>
            </w:r>
            <w:r w:rsidR="00171D38">
              <w:rPr>
                <w:rFonts w:eastAsiaTheme="minorHAnsi"/>
                <w:color w:val="FF0000"/>
              </w:rPr>
              <w:t xml:space="preserve">This can be a procedure within FNS and does not have to be written </w:t>
            </w:r>
            <w:r w:rsidR="002D548A">
              <w:rPr>
                <w:rFonts w:eastAsiaTheme="minorHAnsi"/>
                <w:color w:val="FF0000"/>
              </w:rPr>
              <w:t>into</w:t>
            </w:r>
            <w:r w:rsidR="00171D38">
              <w:rPr>
                <w:rFonts w:eastAsiaTheme="minorHAnsi"/>
                <w:color w:val="FF0000"/>
              </w:rPr>
              <w:t xml:space="preserve"> board policy.</w:t>
            </w:r>
          </w:p>
          <w:p w14:paraId="32738238" w14:textId="2119AA7D" w:rsidR="007F3FD8" w:rsidRDefault="007F3FD8" w:rsidP="009E40CB">
            <w:pPr>
              <w:pStyle w:val="NoSpacing"/>
              <w:rPr>
                <w:rFonts w:eastAsiaTheme="minorHAnsi"/>
                <w:color w:val="FF0000"/>
              </w:rPr>
            </w:pPr>
            <w:r w:rsidRPr="009E40CB">
              <w:rPr>
                <w:rFonts w:eastAsiaTheme="minorHAnsi"/>
                <w:color w:val="FF0000"/>
              </w:rPr>
              <w:t>All complaints alleging discrimination can be submitted verbally, in writing, or anonymously. A person receiving a verbal complaint must transcribe the complaint and gather necessary information. Complaints can be filed within 180 days of the alleged discriminatory action. All complaints must be forwarded to the appropriate office (</w:t>
            </w:r>
            <w:r w:rsidR="00F47741">
              <w:rPr>
                <w:rFonts w:eastAsiaTheme="minorHAnsi"/>
                <w:color w:val="FF0000"/>
              </w:rPr>
              <w:t xml:space="preserve">i.e., </w:t>
            </w:r>
            <w:r w:rsidRPr="009E40CB">
              <w:rPr>
                <w:rFonts w:eastAsiaTheme="minorHAnsi"/>
                <w:color w:val="FF0000"/>
              </w:rPr>
              <w:t xml:space="preserve">USDA Office of Civil Rights, FNS Office of Civil Rights, USDA MPRO, CDE </w:t>
            </w:r>
            <w:r w:rsidR="00DB0E1B">
              <w:rPr>
                <w:rFonts w:eastAsiaTheme="minorHAnsi"/>
                <w:color w:val="FF0000"/>
              </w:rPr>
              <w:t>School Nutrition</w:t>
            </w:r>
            <w:r w:rsidRPr="009E40CB">
              <w:rPr>
                <w:rFonts w:eastAsiaTheme="minorHAnsi"/>
                <w:color w:val="FF0000"/>
              </w:rPr>
              <w:t>)</w:t>
            </w:r>
            <w:r w:rsidR="00E001C7">
              <w:rPr>
                <w:rFonts w:eastAsiaTheme="minorHAnsi"/>
                <w:color w:val="FF0000"/>
              </w:rPr>
              <w:t xml:space="preserve"> within five days</w:t>
            </w:r>
            <w:r w:rsidRPr="009E40CB">
              <w:rPr>
                <w:rFonts w:eastAsiaTheme="minorHAnsi"/>
                <w:color w:val="FF0000"/>
              </w:rPr>
              <w:t>.</w:t>
            </w:r>
            <w:r w:rsidR="00660EB1">
              <w:rPr>
                <w:rFonts w:eastAsiaTheme="minorHAnsi"/>
                <w:color w:val="FF0000"/>
              </w:rPr>
              <w:t xml:space="preserve"> </w:t>
            </w:r>
            <w:r w:rsidR="00660EB1">
              <w:rPr>
                <w:rFonts w:eastAsiaTheme="minorHAnsi"/>
                <w:color w:val="FF0000"/>
              </w:rPr>
              <w:t>Complaints will be processed within 90 days.</w:t>
            </w:r>
          </w:p>
          <w:p w14:paraId="14577B1C" w14:textId="77777777" w:rsidR="009E40CB" w:rsidRPr="009E40CB" w:rsidRDefault="009E40CB" w:rsidP="009E40CB">
            <w:pPr>
              <w:pStyle w:val="NoSpacing"/>
              <w:rPr>
                <w:rFonts w:eastAsiaTheme="minorHAnsi"/>
                <w:color w:val="FF0000"/>
              </w:rPr>
            </w:pPr>
          </w:p>
          <w:p w14:paraId="7B1A8FB3" w14:textId="77777777" w:rsidR="007F3FD8" w:rsidRPr="009E40CB" w:rsidRDefault="00171D38" w:rsidP="009E40CB">
            <w:pPr>
              <w:pStyle w:val="NoSpacing"/>
              <w:rPr>
                <w:rFonts w:eastAsiaTheme="minorHAnsi"/>
                <w:color w:val="FF0000"/>
              </w:rPr>
            </w:pPr>
            <w:r>
              <w:rPr>
                <w:rFonts w:eastAsiaTheme="minorHAnsi"/>
                <w:color w:val="FF0000"/>
              </w:rPr>
              <w:t>A</w:t>
            </w:r>
            <w:r w:rsidR="007F3FD8" w:rsidRPr="009E40CB">
              <w:rPr>
                <w:rFonts w:eastAsiaTheme="minorHAnsi"/>
                <w:color w:val="FF0000"/>
              </w:rPr>
              <w:t>n SFA can have a complaint form, but the complaint form cannot be a prerequisite for accepting a complaint.</w:t>
            </w:r>
          </w:p>
          <w:p w14:paraId="4507BE83" w14:textId="77777777" w:rsidR="007F3FD8" w:rsidRDefault="007F3FD8" w:rsidP="00B94B0C">
            <w:pPr>
              <w:spacing w:beforeLines="60" w:before="144" w:afterLines="60" w:after="144"/>
              <w:rPr>
                <w:b/>
                <w:color w:val="FF0000"/>
              </w:rPr>
            </w:pPr>
            <w:r>
              <w:rPr>
                <w:b/>
                <w:color w:val="FF0000"/>
              </w:rPr>
              <w:t xml:space="preserve">Resources: </w:t>
            </w:r>
          </w:p>
          <w:p w14:paraId="5524846D" w14:textId="791DFB2E" w:rsidR="007F3FD8" w:rsidRPr="006B4B20" w:rsidRDefault="00660EB1" w:rsidP="006B4B20">
            <w:pPr>
              <w:pStyle w:val="ListParagraph"/>
              <w:numPr>
                <w:ilvl w:val="0"/>
                <w:numId w:val="15"/>
              </w:numPr>
              <w:spacing w:beforeLines="60" w:before="144" w:afterLines="60" w:after="144"/>
              <w:rPr>
                <w:color w:val="FF0000"/>
              </w:rPr>
            </w:pPr>
            <w:r>
              <w:rPr>
                <w:color w:val="FF0000"/>
              </w:rPr>
              <w:t xml:space="preserve">View procedure requirements and templates on the </w:t>
            </w:r>
            <w:hyperlink r:id="rId11" w:history="1">
              <w:r w:rsidRPr="00660EB1">
                <w:rPr>
                  <w:rStyle w:val="Hyperlink"/>
                </w:rPr>
                <w:t>Civil Rights webpage</w:t>
              </w:r>
            </w:hyperlink>
          </w:p>
        </w:tc>
      </w:tr>
      <w:tr w:rsidR="00781409" w:rsidRPr="00B94B0C" w14:paraId="4A3D625E" w14:textId="77777777" w:rsidTr="004E1573">
        <w:trPr>
          <w:trHeight w:val="980"/>
        </w:trPr>
        <w:tc>
          <w:tcPr>
            <w:tcW w:w="385" w:type="pct"/>
            <w:shd w:val="pct15" w:color="auto" w:fill="auto"/>
          </w:tcPr>
          <w:p w14:paraId="151EEDDF" w14:textId="77777777" w:rsidR="00781409" w:rsidRPr="00B94B0C" w:rsidRDefault="00781409" w:rsidP="00B94B0C">
            <w:pPr>
              <w:spacing w:beforeLines="60" w:before="144" w:afterLines="60" w:after="144"/>
              <w:ind w:left="30"/>
            </w:pPr>
            <w:r w:rsidRPr="00B94B0C">
              <w:t>804.</w:t>
            </w:r>
          </w:p>
        </w:tc>
        <w:tc>
          <w:tcPr>
            <w:tcW w:w="4615" w:type="pct"/>
          </w:tcPr>
          <w:p w14:paraId="5E983AEF" w14:textId="77777777" w:rsidR="00781409" w:rsidRPr="00B94B0C" w:rsidRDefault="00781409" w:rsidP="00B94B0C">
            <w:pPr>
              <w:spacing w:beforeLines="60" w:before="144" w:afterLines="60" w:after="144"/>
              <w:contextualSpacing/>
            </w:pPr>
            <w:r w:rsidRPr="00B94B0C">
              <w:t xml:space="preserve">Has the School Food Authority received any written or verbal complaints alleging discrimination in FNS Programs in the current or prior school year? </w:t>
            </w:r>
          </w:p>
          <w:p w14:paraId="1119C223" w14:textId="77777777" w:rsidR="00781409" w:rsidRDefault="00781409" w:rsidP="00B94B0C">
            <w:pPr>
              <w:spacing w:beforeLines="60" w:before="144" w:afterLines="60" w:after="144"/>
              <w:rPr>
                <w:b/>
              </w:rPr>
            </w:pPr>
            <w:r w:rsidRPr="00B94B0C">
              <w:rPr>
                <w:b/>
              </w:rPr>
              <w:t xml:space="preserve">If yes, please </w:t>
            </w:r>
            <w:r w:rsidR="001456C0">
              <w:rPr>
                <w:b/>
              </w:rPr>
              <w:t xml:space="preserve">obtain </w:t>
            </w:r>
            <w:r w:rsidRPr="00B94B0C">
              <w:rPr>
                <w:b/>
              </w:rPr>
              <w:t>the following information: date, nature of complaint, and agency complaint was reported to.</w:t>
            </w:r>
          </w:p>
          <w:p w14:paraId="24396DFE" w14:textId="77777777" w:rsidR="00162A75" w:rsidRPr="00162A75" w:rsidRDefault="00162A75" w:rsidP="00B94B0C">
            <w:pPr>
              <w:spacing w:beforeLines="60" w:before="144" w:afterLines="60" w:after="144"/>
              <w:rPr>
                <w:b/>
                <w:color w:val="FF0000"/>
              </w:rPr>
            </w:pPr>
            <w:r>
              <w:rPr>
                <w:b/>
                <w:color w:val="FF0000"/>
              </w:rPr>
              <w:t>See Tips and Resources for #803</w:t>
            </w:r>
          </w:p>
        </w:tc>
      </w:tr>
      <w:tr w:rsidR="00781409" w:rsidRPr="00B94B0C" w14:paraId="45BB242C" w14:textId="77777777" w:rsidTr="004E1573">
        <w:trPr>
          <w:trHeight w:val="377"/>
        </w:trPr>
        <w:tc>
          <w:tcPr>
            <w:tcW w:w="385" w:type="pct"/>
            <w:shd w:val="pct15" w:color="auto" w:fill="auto"/>
          </w:tcPr>
          <w:p w14:paraId="2FF399B9" w14:textId="77777777" w:rsidR="00781409" w:rsidRPr="00B94B0C" w:rsidRDefault="00781409" w:rsidP="00B94B0C">
            <w:pPr>
              <w:spacing w:beforeLines="60" w:before="144" w:afterLines="60" w:after="144"/>
            </w:pPr>
            <w:r w:rsidRPr="00B94B0C">
              <w:t>805.</w:t>
            </w:r>
          </w:p>
        </w:tc>
        <w:tc>
          <w:tcPr>
            <w:tcW w:w="4615" w:type="pct"/>
            <w:vAlign w:val="center"/>
          </w:tcPr>
          <w:p w14:paraId="2F5D256D" w14:textId="77777777" w:rsidR="00781409" w:rsidRDefault="00901A3D" w:rsidP="00B94B0C">
            <w:pPr>
              <w:spacing w:beforeLines="60" w:before="144" w:afterLines="60" w:after="144"/>
            </w:pPr>
            <w:r>
              <w:t>What procedures are in place for accommodating students with disabilities (special dietary needs)</w:t>
            </w:r>
            <w:r w:rsidR="00781409" w:rsidRPr="00B94B0C">
              <w:t>?</w:t>
            </w:r>
          </w:p>
          <w:p w14:paraId="23718A8F" w14:textId="77777777" w:rsidR="00171D38" w:rsidRDefault="00162A75" w:rsidP="009E40CB">
            <w:pPr>
              <w:pStyle w:val="NoSpacing"/>
              <w:rPr>
                <w:rFonts w:eastAsiaTheme="minorHAnsi"/>
                <w:b/>
                <w:color w:val="FF0000"/>
              </w:rPr>
            </w:pPr>
            <w:r w:rsidRPr="009E40CB">
              <w:rPr>
                <w:rFonts w:eastAsiaTheme="minorHAnsi"/>
                <w:b/>
                <w:color w:val="FF0000"/>
              </w:rPr>
              <w:t xml:space="preserve">Tips: </w:t>
            </w:r>
          </w:p>
          <w:p w14:paraId="55DD601F" w14:textId="77777777" w:rsidR="00171D38" w:rsidRDefault="00171D38" w:rsidP="009E40CB">
            <w:pPr>
              <w:pStyle w:val="NoSpacing"/>
              <w:rPr>
                <w:rFonts w:eastAsiaTheme="minorHAnsi"/>
                <w:b/>
                <w:color w:val="FF0000"/>
              </w:rPr>
            </w:pPr>
          </w:p>
          <w:p w14:paraId="1BCA6E88" w14:textId="77777777" w:rsidR="00E001C7" w:rsidRDefault="00E001C7" w:rsidP="00E001C7">
            <w:pPr>
              <w:pStyle w:val="NoSpacing"/>
              <w:rPr>
                <w:rFonts w:eastAsiaTheme="minorHAnsi"/>
                <w:color w:val="FF0000"/>
              </w:rPr>
            </w:pPr>
            <w:r w:rsidRPr="009E40CB">
              <w:rPr>
                <w:rFonts w:eastAsiaTheme="minorHAnsi"/>
                <w:color w:val="FF0000"/>
              </w:rPr>
              <w:t xml:space="preserve">SFAs are required to provide </w:t>
            </w:r>
            <w:r>
              <w:rPr>
                <w:rFonts w:eastAsiaTheme="minorHAnsi"/>
                <w:color w:val="FF0000"/>
              </w:rPr>
              <w:t xml:space="preserve">meal </w:t>
            </w:r>
            <w:r w:rsidRPr="009E40CB">
              <w:rPr>
                <w:rFonts w:eastAsiaTheme="minorHAnsi"/>
                <w:color w:val="FF0000"/>
              </w:rPr>
              <w:t>modifications when a student has a disability</w:t>
            </w:r>
            <w:r>
              <w:rPr>
                <w:rFonts w:eastAsiaTheme="minorHAnsi"/>
                <w:color w:val="FF0000"/>
              </w:rPr>
              <w:t xml:space="preserve"> supported with a signed medical statement. Most medical needs constitute a disability. If an accommodation request falls outside of the meal pattern, a medical statement cer</w:t>
            </w:r>
            <w:r w:rsidRPr="009E40CB">
              <w:rPr>
                <w:rFonts w:eastAsiaTheme="minorHAnsi"/>
                <w:color w:val="FF0000"/>
              </w:rPr>
              <w:t>tified by a licensed physician (MD or DO), advanced practice nurse (APN) with prescriptive authority (RXN) or physician assistant (PA)</w:t>
            </w:r>
            <w:r>
              <w:rPr>
                <w:rFonts w:eastAsiaTheme="minorHAnsi"/>
                <w:color w:val="FF0000"/>
              </w:rPr>
              <w:t xml:space="preserve"> should be on file</w:t>
            </w:r>
            <w:r w:rsidRPr="009E40CB">
              <w:rPr>
                <w:rFonts w:eastAsiaTheme="minorHAnsi"/>
                <w:color w:val="FF0000"/>
              </w:rPr>
              <w:t xml:space="preserve">. </w:t>
            </w:r>
            <w:r>
              <w:rPr>
                <w:rFonts w:eastAsiaTheme="minorHAnsi"/>
                <w:color w:val="FF0000"/>
              </w:rPr>
              <w:t>The medical statement must include:</w:t>
            </w:r>
          </w:p>
          <w:p w14:paraId="3FFF2AE0" w14:textId="77777777" w:rsidR="00E001C7" w:rsidRDefault="00E001C7" w:rsidP="00E001C7">
            <w:pPr>
              <w:pStyle w:val="NoSpacing"/>
              <w:numPr>
                <w:ilvl w:val="0"/>
                <w:numId w:val="19"/>
              </w:numPr>
              <w:rPr>
                <w:rFonts w:eastAsiaTheme="minorHAnsi"/>
                <w:color w:val="FF0000"/>
              </w:rPr>
            </w:pPr>
            <w:r>
              <w:rPr>
                <w:rFonts w:eastAsiaTheme="minorHAnsi"/>
                <w:color w:val="FF0000"/>
              </w:rPr>
              <w:t xml:space="preserve">The child’s physical or mental impairment &amp; how it restricts the child’s </w:t>
            </w:r>
            <w:proofErr w:type="gramStart"/>
            <w:r>
              <w:rPr>
                <w:rFonts w:eastAsiaTheme="minorHAnsi"/>
                <w:color w:val="FF0000"/>
              </w:rPr>
              <w:t>diet</w:t>
            </w:r>
            <w:proofErr w:type="gramEnd"/>
          </w:p>
          <w:p w14:paraId="3B1CBA8D" w14:textId="77777777" w:rsidR="00E001C7" w:rsidRPr="00F1032B" w:rsidRDefault="00E001C7" w:rsidP="00E001C7">
            <w:pPr>
              <w:pStyle w:val="NoSpacing"/>
              <w:numPr>
                <w:ilvl w:val="0"/>
                <w:numId w:val="19"/>
              </w:numPr>
              <w:rPr>
                <w:rFonts w:eastAsiaTheme="minorHAnsi"/>
                <w:color w:val="FF0000"/>
              </w:rPr>
            </w:pPr>
            <w:r>
              <w:rPr>
                <w:rFonts w:eastAsiaTheme="minorHAnsi"/>
                <w:color w:val="FF0000"/>
              </w:rPr>
              <w:t xml:space="preserve">What must be done to accommodate the </w:t>
            </w:r>
            <w:proofErr w:type="gramStart"/>
            <w:r>
              <w:rPr>
                <w:rFonts w:eastAsiaTheme="minorHAnsi"/>
                <w:color w:val="FF0000"/>
              </w:rPr>
              <w:t>child</w:t>
            </w:r>
            <w:proofErr w:type="gramEnd"/>
          </w:p>
          <w:p w14:paraId="582D91A2" w14:textId="77777777" w:rsidR="00E001C7" w:rsidRPr="00310AFB" w:rsidRDefault="00E001C7" w:rsidP="00E001C7">
            <w:pPr>
              <w:pStyle w:val="NoSpacing"/>
              <w:numPr>
                <w:ilvl w:val="0"/>
                <w:numId w:val="19"/>
              </w:numPr>
              <w:rPr>
                <w:rFonts w:eastAsiaTheme="minorHAnsi"/>
                <w:color w:val="FF0000"/>
              </w:rPr>
            </w:pPr>
            <w:r>
              <w:rPr>
                <w:rFonts w:eastAsiaTheme="minorHAnsi"/>
                <w:color w:val="FF0000"/>
              </w:rPr>
              <w:lastRenderedPageBreak/>
              <w:t xml:space="preserve">Foods to be omitted and foods to be substituted, </w:t>
            </w:r>
            <w:r w:rsidRPr="009F5791">
              <w:rPr>
                <w:b/>
                <w:color w:val="FF0000"/>
              </w:rPr>
              <w:t>if appropriate</w:t>
            </w:r>
          </w:p>
          <w:p w14:paraId="6738C898" w14:textId="77777777" w:rsidR="00E001C7" w:rsidRPr="009E40CB" w:rsidRDefault="00E001C7" w:rsidP="00E001C7">
            <w:pPr>
              <w:pStyle w:val="NoSpacing"/>
              <w:rPr>
                <w:rFonts w:eastAsiaTheme="minorHAnsi"/>
                <w:color w:val="FF0000"/>
              </w:rPr>
            </w:pPr>
          </w:p>
          <w:p w14:paraId="087459C5" w14:textId="77777777" w:rsidR="00E001C7" w:rsidRDefault="00E001C7" w:rsidP="00E001C7">
            <w:pPr>
              <w:pStyle w:val="NoSpacing"/>
              <w:rPr>
                <w:rFonts w:eastAsiaTheme="minorHAnsi"/>
                <w:color w:val="FF0000"/>
              </w:rPr>
            </w:pPr>
            <w:r>
              <w:rPr>
                <w:rFonts w:eastAsiaTheme="minorHAnsi"/>
                <w:color w:val="FF0000"/>
              </w:rPr>
              <w:t xml:space="preserve">If a request can be accommodated within the meal pattern, a medical statement is not required. It is best </w:t>
            </w:r>
            <w:proofErr w:type="gramStart"/>
            <w:r>
              <w:rPr>
                <w:rFonts w:eastAsiaTheme="minorHAnsi"/>
                <w:color w:val="FF0000"/>
              </w:rPr>
              <w:t>practice to</w:t>
            </w:r>
            <w:proofErr w:type="gramEnd"/>
            <w:r>
              <w:rPr>
                <w:rFonts w:eastAsiaTheme="minorHAnsi"/>
                <w:color w:val="FF0000"/>
              </w:rPr>
              <w:t xml:space="preserve"> for the SFA to keep documentation of the request on file with the preference form. </w:t>
            </w:r>
          </w:p>
          <w:p w14:paraId="72A49947" w14:textId="77777777" w:rsidR="00E001C7" w:rsidRPr="009E40CB" w:rsidRDefault="00E001C7" w:rsidP="00E001C7">
            <w:pPr>
              <w:pStyle w:val="NoSpacing"/>
              <w:rPr>
                <w:rFonts w:eastAsiaTheme="minorHAnsi"/>
                <w:color w:val="FF0000"/>
              </w:rPr>
            </w:pPr>
          </w:p>
          <w:p w14:paraId="2F993A45" w14:textId="0E3A0F0C" w:rsidR="00E001C7" w:rsidRDefault="00E001C7" w:rsidP="00E001C7">
            <w:pPr>
              <w:rPr>
                <w:rFonts w:eastAsiaTheme="minorHAnsi"/>
                <w:color w:val="FF0000"/>
              </w:rPr>
            </w:pPr>
            <w:r>
              <w:rPr>
                <w:color w:val="FF0000"/>
              </w:rPr>
              <w:t xml:space="preserve">Milk Substitutes: If a request is made to accommodate a disability and a medical statement is on file, the SFA must provide the substitutions the medical professional provides. Without a medical statement, allowable milk substitutes include lactose-free, lactose-reduced, or non-dairy milk substitutes that meet the </w:t>
            </w:r>
            <w:hyperlink r:id="rId12" w:history="1">
              <w:r w:rsidRPr="00EC53C5">
                <w:rPr>
                  <w:rStyle w:val="Hyperlink"/>
                </w:rPr>
                <w:t>USDA nutrient requirements.</w:t>
              </w:r>
            </w:hyperlink>
            <w:r>
              <w:rPr>
                <w:color w:val="FF0000"/>
              </w:rPr>
              <w:t xml:space="preserve"> Milk substitution requests for non-disabilities must meet the USDA nutrient requirements. The SFA is not required to accommodate milk substitution requests based on preference. Note: Program operators are not to promote water or any other beverage as an alternative selection to fluid milk throughout the food service area.</w:t>
            </w:r>
          </w:p>
          <w:p w14:paraId="245D3E1D" w14:textId="77777777" w:rsidR="00E001C7" w:rsidRPr="00171D38" w:rsidRDefault="00E001C7" w:rsidP="00E001C7">
            <w:pPr>
              <w:spacing w:beforeLines="60" w:before="144" w:afterLines="60" w:after="144"/>
              <w:rPr>
                <w:color w:val="FF0000"/>
              </w:rPr>
            </w:pPr>
            <w:r w:rsidRPr="00171D38">
              <w:rPr>
                <w:color w:val="FF0000"/>
              </w:rPr>
              <w:t xml:space="preserve">Written policy is not required but strongly encouraged. A standard operating procedure template can be found on our website and in </w:t>
            </w:r>
            <w:proofErr w:type="gramStart"/>
            <w:r w:rsidRPr="00171D38">
              <w:rPr>
                <w:color w:val="FF0000"/>
              </w:rPr>
              <w:t>resources</w:t>
            </w:r>
            <w:proofErr w:type="gramEnd"/>
            <w:r w:rsidRPr="00171D38">
              <w:rPr>
                <w:color w:val="FF0000"/>
              </w:rPr>
              <w:t xml:space="preserve"> below. The food allergy policy should be provided to staff, families, students, etc. at the beginning of the year.</w:t>
            </w:r>
          </w:p>
          <w:p w14:paraId="2824983B" w14:textId="77777777" w:rsidR="00E001C7" w:rsidRDefault="00E001C7" w:rsidP="00E001C7">
            <w:pPr>
              <w:spacing w:beforeLines="60" w:before="144" w:afterLines="60" w:after="144"/>
              <w:rPr>
                <w:color w:val="FF0000"/>
              </w:rPr>
            </w:pPr>
            <w:r w:rsidRPr="00171D38">
              <w:rPr>
                <w:color w:val="FF0000"/>
              </w:rPr>
              <w:t>Best practice is to update medical statements annually, but it is not required.</w:t>
            </w:r>
          </w:p>
          <w:p w14:paraId="1EF0E408" w14:textId="51D17EF9" w:rsidR="00E001C7" w:rsidRDefault="00E001C7" w:rsidP="00E001C7">
            <w:pPr>
              <w:spacing w:beforeLines="60" w:before="144" w:afterLines="60" w:after="144"/>
              <w:rPr>
                <w:color w:val="FF0000"/>
              </w:rPr>
            </w:pPr>
            <w:r>
              <w:rPr>
                <w:color w:val="FF0000"/>
              </w:rPr>
              <w:t xml:space="preserve">SFAs must inform households that they do provide reasonable accommodations to students with disabilities. </w:t>
            </w:r>
          </w:p>
          <w:p w14:paraId="3C8F90F3" w14:textId="77777777" w:rsidR="00162A75" w:rsidRDefault="00162A75" w:rsidP="00AD705D">
            <w:pPr>
              <w:spacing w:beforeLines="60" w:before="144" w:afterLines="60" w:after="144"/>
              <w:rPr>
                <w:rStyle w:val="Hyperlink"/>
              </w:rPr>
            </w:pPr>
            <w:r>
              <w:rPr>
                <w:b/>
                <w:color w:val="FF0000"/>
              </w:rPr>
              <w:t>Resources:</w:t>
            </w:r>
            <w:r w:rsidR="00FF10C1">
              <w:rPr>
                <w:b/>
                <w:color w:val="FF0000"/>
              </w:rPr>
              <w:t xml:space="preserve">  </w:t>
            </w:r>
            <w:hyperlink r:id="rId13" w:history="1"/>
          </w:p>
          <w:p w14:paraId="6AB891B8" w14:textId="4C417470" w:rsidR="00AD705D" w:rsidRPr="00171D38" w:rsidRDefault="00E001C7" w:rsidP="00171D38">
            <w:pPr>
              <w:pStyle w:val="ListParagraph"/>
              <w:numPr>
                <w:ilvl w:val="0"/>
                <w:numId w:val="18"/>
              </w:numPr>
              <w:spacing w:beforeLines="60" w:before="144" w:afterLines="60" w:after="144"/>
              <w:rPr>
                <w:color w:val="FF0000"/>
              </w:rPr>
            </w:pPr>
            <w:r w:rsidRPr="00E001C7">
              <w:rPr>
                <w:rStyle w:val="Hyperlink"/>
                <w:color w:val="FF0000"/>
                <w:u w:val="none"/>
              </w:rPr>
              <w:t>Additional guidance and resources</w:t>
            </w:r>
            <w:r w:rsidR="00DB0E1B" w:rsidRPr="00E001C7">
              <w:rPr>
                <w:rStyle w:val="Hyperlink"/>
                <w:color w:val="FF0000"/>
                <w:u w:val="none"/>
              </w:rPr>
              <w:t xml:space="preserve"> can </w:t>
            </w:r>
            <w:r w:rsidR="00DB0E1B" w:rsidRPr="0067319D">
              <w:rPr>
                <w:rStyle w:val="Hyperlink"/>
                <w:color w:val="FF0000"/>
                <w:u w:val="none"/>
              </w:rPr>
              <w:t xml:space="preserve">be found on the </w:t>
            </w:r>
            <w:hyperlink r:id="rId14" w:anchor="specialdietaryneeds" w:history="1">
              <w:r w:rsidR="00DB0E1B" w:rsidRPr="00660EB1">
                <w:rPr>
                  <w:rStyle w:val="Hyperlink"/>
                </w:rPr>
                <w:t>special dietary needs webpage</w:t>
              </w:r>
            </w:hyperlink>
            <w:r w:rsidR="00660EB1">
              <w:rPr>
                <w:rStyle w:val="Hyperlink"/>
                <w:color w:val="FF0000"/>
                <w:u w:val="none"/>
              </w:rPr>
              <w:t>.</w:t>
            </w:r>
          </w:p>
        </w:tc>
      </w:tr>
      <w:tr w:rsidR="00781409" w:rsidRPr="00B94B0C" w14:paraId="6B519810" w14:textId="77777777" w:rsidTr="00824AA2">
        <w:trPr>
          <w:trHeight w:val="1448"/>
        </w:trPr>
        <w:tc>
          <w:tcPr>
            <w:tcW w:w="385" w:type="pct"/>
            <w:shd w:val="pct15" w:color="auto" w:fill="auto"/>
          </w:tcPr>
          <w:p w14:paraId="37678E24" w14:textId="77777777" w:rsidR="00781409" w:rsidRPr="00B94B0C" w:rsidRDefault="00781409" w:rsidP="00B94B0C">
            <w:pPr>
              <w:spacing w:beforeLines="60" w:before="144" w:afterLines="60" w:after="144"/>
            </w:pPr>
            <w:r w:rsidRPr="00B94B0C">
              <w:lastRenderedPageBreak/>
              <w:t>806.</w:t>
            </w:r>
          </w:p>
        </w:tc>
        <w:tc>
          <w:tcPr>
            <w:tcW w:w="4615" w:type="pct"/>
            <w:shd w:val="clear" w:color="auto" w:fill="auto"/>
            <w:vAlign w:val="center"/>
          </w:tcPr>
          <w:p w14:paraId="1AC4D2F9" w14:textId="77777777" w:rsidR="00781409" w:rsidRPr="00B94B0C" w:rsidRDefault="00781409" w:rsidP="00B94B0C">
            <w:pPr>
              <w:spacing w:beforeLines="60" w:before="144" w:afterLines="60" w:after="144"/>
            </w:pPr>
            <w:r w:rsidRPr="00B94B0C">
              <w:t xml:space="preserve">When was the SFA’s most recent civil rights training for staff who interact with program applicants or participants (e.g., cafeteria staff, F/R application approval staff) and their supervisors? </w:t>
            </w:r>
          </w:p>
          <w:p w14:paraId="0BDE5069" w14:textId="77777777" w:rsidR="00781409" w:rsidRPr="00B94B0C" w:rsidRDefault="00781409" w:rsidP="00B94B0C">
            <w:pPr>
              <w:spacing w:beforeLines="60" w:before="144" w:afterLines="60" w:after="144"/>
              <w:contextualSpacing/>
            </w:pPr>
            <w:r w:rsidRPr="00B94B0C">
              <w:t xml:space="preserve">Who attended these trainings?  </w:t>
            </w:r>
          </w:p>
          <w:p w14:paraId="6ABF773A" w14:textId="77777777" w:rsidR="00781409" w:rsidRPr="00B94B0C" w:rsidRDefault="00781409" w:rsidP="00B94B0C">
            <w:pPr>
              <w:spacing w:beforeLines="60" w:before="144" w:afterLines="60" w:after="144"/>
              <w:contextualSpacing/>
            </w:pPr>
            <w:r w:rsidRPr="00B94B0C">
              <w:t xml:space="preserve">What topics were covered by the training?  </w:t>
            </w:r>
          </w:p>
          <w:p w14:paraId="4E4DD6EB" w14:textId="77777777" w:rsidR="00781409" w:rsidRDefault="00781409" w:rsidP="00B94B0C">
            <w:pPr>
              <w:spacing w:beforeLines="60" w:before="144" w:afterLines="60" w:after="144"/>
            </w:pPr>
            <w:r w:rsidRPr="00B94B0C">
              <w:t>Provide supporting documentation for the responses.</w:t>
            </w:r>
          </w:p>
          <w:p w14:paraId="1B3ACFF6" w14:textId="77777777" w:rsidR="00171D38" w:rsidRDefault="00322158" w:rsidP="00322158">
            <w:pPr>
              <w:spacing w:beforeLines="60" w:before="144" w:afterLines="60" w:after="144"/>
              <w:rPr>
                <w:b/>
                <w:color w:val="FF0000"/>
              </w:rPr>
            </w:pPr>
            <w:r>
              <w:rPr>
                <w:b/>
                <w:color w:val="FF0000"/>
              </w:rPr>
              <w:t xml:space="preserve">Tips: </w:t>
            </w:r>
          </w:p>
          <w:p w14:paraId="55C34F72" w14:textId="77777777" w:rsidR="00660EB1" w:rsidRPr="00322158" w:rsidRDefault="00660EB1" w:rsidP="00660EB1">
            <w:pPr>
              <w:spacing w:beforeLines="60" w:before="144" w:afterLines="60" w:after="144"/>
              <w:rPr>
                <w:rFonts w:eastAsiaTheme="minorHAnsi"/>
                <w:color w:val="FF0000"/>
              </w:rPr>
            </w:pPr>
            <w:r w:rsidRPr="00322158">
              <w:rPr>
                <w:rFonts w:eastAsiaTheme="minorHAnsi"/>
                <w:color w:val="FF0000"/>
              </w:rPr>
              <w:t>SFAs must train all frontline staff on civil rights requirements on an annual basis. A training agenda and sign in sheet</w:t>
            </w:r>
            <w:r>
              <w:rPr>
                <w:rFonts w:eastAsiaTheme="minorHAnsi"/>
                <w:color w:val="FF0000"/>
              </w:rPr>
              <w:t xml:space="preserve"> or training certificates</w:t>
            </w:r>
            <w:r w:rsidRPr="00322158">
              <w:rPr>
                <w:rFonts w:eastAsiaTheme="minorHAnsi"/>
                <w:color w:val="FF0000"/>
              </w:rPr>
              <w:t xml:space="preserve"> must be included with training documentation. </w:t>
            </w:r>
          </w:p>
          <w:p w14:paraId="40CBA33A" w14:textId="77777777" w:rsidR="00660EB1" w:rsidRPr="00322158" w:rsidRDefault="00660EB1" w:rsidP="00660EB1">
            <w:pPr>
              <w:rPr>
                <w:rFonts w:eastAsiaTheme="minorHAnsi"/>
                <w:color w:val="FF0000"/>
              </w:rPr>
            </w:pPr>
            <w:r>
              <w:rPr>
                <w:rFonts w:eastAsiaTheme="minorHAnsi"/>
                <w:color w:val="FF0000"/>
              </w:rPr>
              <w:t xml:space="preserve">CDE School Nutrition has training available in multiple formats on the </w:t>
            </w:r>
            <w:hyperlink r:id="rId15" w:anchor="civilrightstraining" w:history="1">
              <w:r w:rsidRPr="008C1BA4">
                <w:rPr>
                  <w:rStyle w:val="Hyperlink"/>
                  <w:rFonts w:eastAsiaTheme="minorHAnsi"/>
                </w:rPr>
                <w:t>Civil Rights webpage</w:t>
              </w:r>
            </w:hyperlink>
            <w:r w:rsidRPr="00322158">
              <w:rPr>
                <w:rFonts w:eastAsiaTheme="minorHAnsi"/>
                <w:color w:val="FF0000"/>
              </w:rPr>
              <w:t xml:space="preserve">. </w:t>
            </w:r>
            <w:r>
              <w:rPr>
                <w:rFonts w:eastAsiaTheme="minorHAnsi"/>
                <w:color w:val="FF0000"/>
              </w:rPr>
              <w:t>The sponsor</w:t>
            </w:r>
            <w:r w:rsidRPr="00322158">
              <w:rPr>
                <w:rFonts w:eastAsiaTheme="minorHAnsi"/>
                <w:color w:val="FF0000"/>
              </w:rPr>
              <w:t xml:space="preserve"> must keep document</w:t>
            </w:r>
            <w:r>
              <w:rPr>
                <w:rFonts w:eastAsiaTheme="minorHAnsi"/>
                <w:color w:val="FF0000"/>
              </w:rPr>
              <w:t xml:space="preserve">ation that staff have completed training, such as sign-in sheets. </w:t>
            </w:r>
          </w:p>
          <w:p w14:paraId="5F41C79A" w14:textId="77777777" w:rsidR="00660EB1" w:rsidRDefault="00660EB1" w:rsidP="00660EB1">
            <w:pPr>
              <w:ind w:left="360"/>
              <w:rPr>
                <w:rFonts w:eastAsiaTheme="minorHAnsi"/>
                <w:color w:val="FF0000"/>
              </w:rPr>
            </w:pPr>
          </w:p>
          <w:p w14:paraId="1ACAA611" w14:textId="02F569BB" w:rsidR="00322158" w:rsidRPr="00660EB1" w:rsidRDefault="00660EB1" w:rsidP="00660EB1">
            <w:pPr>
              <w:rPr>
                <w:rFonts w:eastAsiaTheme="minorHAnsi"/>
                <w:color w:val="FF0000"/>
              </w:rPr>
            </w:pPr>
            <w:r w:rsidRPr="00322158">
              <w:rPr>
                <w:rFonts w:eastAsiaTheme="minorHAnsi"/>
                <w:color w:val="FF0000"/>
              </w:rPr>
              <w:t xml:space="preserve">Breakfast in the classroom teachers </w:t>
            </w:r>
            <w:proofErr w:type="gramStart"/>
            <w:r w:rsidRPr="00322158">
              <w:rPr>
                <w:rFonts w:eastAsiaTheme="minorHAnsi"/>
                <w:color w:val="FF0000"/>
              </w:rPr>
              <w:t>are</w:t>
            </w:r>
            <w:proofErr w:type="gramEnd"/>
            <w:r w:rsidRPr="00322158">
              <w:rPr>
                <w:rFonts w:eastAsiaTheme="minorHAnsi"/>
                <w:color w:val="FF0000"/>
              </w:rPr>
              <w:t xml:space="preserve"> considered frontline staff</w:t>
            </w:r>
            <w:r>
              <w:rPr>
                <w:rFonts w:eastAsiaTheme="minorHAnsi"/>
                <w:color w:val="FF0000"/>
              </w:rPr>
              <w:t xml:space="preserve"> if they are involved in the service of or counting and claiming of meals</w:t>
            </w:r>
            <w:r w:rsidRPr="00322158">
              <w:rPr>
                <w:rFonts w:eastAsiaTheme="minorHAnsi"/>
                <w:color w:val="FF0000"/>
              </w:rPr>
              <w:t>.</w:t>
            </w:r>
            <w:r>
              <w:rPr>
                <w:rFonts w:eastAsiaTheme="minorHAnsi"/>
                <w:color w:val="FF0000"/>
              </w:rPr>
              <w:t xml:space="preserve"> Utilize the </w:t>
            </w:r>
            <w:hyperlink r:id="rId16" w:history="1">
              <w:r w:rsidRPr="008C1BA4">
                <w:rPr>
                  <w:rStyle w:val="Hyperlink"/>
                  <w:rFonts w:eastAsiaTheme="minorHAnsi"/>
                </w:rPr>
                <w:t>teachers training memo</w:t>
              </w:r>
            </w:hyperlink>
            <w:r>
              <w:rPr>
                <w:rFonts w:eastAsiaTheme="minorHAnsi"/>
                <w:color w:val="FF0000"/>
              </w:rPr>
              <w:t xml:space="preserve"> to streamline the training process.</w:t>
            </w:r>
          </w:p>
        </w:tc>
      </w:tr>
      <w:tr w:rsidR="00781409" w:rsidRPr="00B94B0C" w14:paraId="0F05E55E" w14:textId="77777777" w:rsidTr="004E1573">
        <w:trPr>
          <w:trHeight w:val="953"/>
        </w:trPr>
        <w:tc>
          <w:tcPr>
            <w:tcW w:w="385" w:type="pct"/>
            <w:shd w:val="pct15" w:color="auto" w:fill="auto"/>
          </w:tcPr>
          <w:p w14:paraId="34439F5D" w14:textId="77777777" w:rsidR="00781409" w:rsidRPr="00B94B0C" w:rsidRDefault="00781409" w:rsidP="00B94B0C">
            <w:pPr>
              <w:spacing w:beforeLines="60" w:before="144" w:afterLines="60" w:after="144"/>
            </w:pPr>
            <w:r w:rsidRPr="00B94B0C">
              <w:lastRenderedPageBreak/>
              <w:t>807.</w:t>
            </w:r>
          </w:p>
        </w:tc>
        <w:tc>
          <w:tcPr>
            <w:tcW w:w="4615" w:type="pct"/>
            <w:vAlign w:val="center"/>
          </w:tcPr>
          <w:p w14:paraId="21458EE0" w14:textId="77777777" w:rsidR="00781409" w:rsidRPr="00B94B0C" w:rsidRDefault="00781409" w:rsidP="00B94B0C">
            <w:pPr>
              <w:spacing w:beforeLines="60" w:before="144" w:afterLines="60" w:after="144"/>
              <w:contextualSpacing/>
            </w:pPr>
            <w:r w:rsidRPr="00B94B0C">
              <w:t xml:space="preserve">How does the SFA collect racial/ethnic data?  </w:t>
            </w:r>
          </w:p>
          <w:p w14:paraId="0486E3EC" w14:textId="77777777" w:rsidR="00781409" w:rsidRPr="00B94B0C" w:rsidRDefault="00781409" w:rsidP="00B94B0C">
            <w:pPr>
              <w:spacing w:beforeLines="60" w:before="144" w:afterLines="60" w:after="144"/>
              <w:contextualSpacing/>
            </w:pPr>
            <w:r w:rsidRPr="00B94B0C">
              <w:t xml:space="preserve">How often is this information collected? </w:t>
            </w:r>
          </w:p>
          <w:p w14:paraId="45E27F38" w14:textId="77777777" w:rsidR="00781409" w:rsidRDefault="00781409" w:rsidP="00B94B0C">
            <w:pPr>
              <w:spacing w:beforeLines="60" w:before="144" w:afterLines="60" w:after="144"/>
              <w:contextualSpacing/>
            </w:pPr>
            <w:r w:rsidRPr="00B94B0C">
              <w:t>Provide documentation to support the response.</w:t>
            </w:r>
          </w:p>
          <w:p w14:paraId="7089BA64" w14:textId="77777777" w:rsidR="0067319D" w:rsidRDefault="0067319D" w:rsidP="00322158">
            <w:pPr>
              <w:spacing w:beforeLines="60" w:before="144" w:afterLines="60" w:after="144"/>
              <w:rPr>
                <w:b/>
                <w:color w:val="FF0000"/>
              </w:rPr>
            </w:pPr>
          </w:p>
          <w:p w14:paraId="6EC07C52" w14:textId="77777777" w:rsidR="00171D38" w:rsidRDefault="00322158" w:rsidP="00322158">
            <w:pPr>
              <w:spacing w:beforeLines="60" w:before="144" w:afterLines="60" w:after="144"/>
              <w:rPr>
                <w:rFonts w:eastAsiaTheme="minorHAnsi"/>
                <w:color w:val="FF0000"/>
              </w:rPr>
            </w:pPr>
            <w:r>
              <w:rPr>
                <w:b/>
                <w:color w:val="FF0000"/>
              </w:rPr>
              <w:t xml:space="preserve">Tips: </w:t>
            </w:r>
          </w:p>
          <w:p w14:paraId="696E4881" w14:textId="1DF14F98" w:rsidR="00171D38" w:rsidRDefault="00171D38" w:rsidP="00322158">
            <w:pPr>
              <w:spacing w:beforeLines="60" w:before="144" w:afterLines="60" w:after="144"/>
              <w:rPr>
                <w:rFonts w:eastAsiaTheme="minorHAnsi"/>
                <w:color w:val="FF0000"/>
              </w:rPr>
            </w:pPr>
            <w:r>
              <w:rPr>
                <w:rFonts w:eastAsiaTheme="minorHAnsi"/>
                <w:color w:val="FF0000"/>
              </w:rPr>
              <w:t xml:space="preserve">Data collection is required by CDE for each district and is usually done by your district during student enrollment. </w:t>
            </w:r>
            <w:r w:rsidRPr="00322158">
              <w:rPr>
                <w:rFonts w:eastAsiaTheme="minorHAnsi"/>
                <w:color w:val="FF0000"/>
              </w:rPr>
              <w:t xml:space="preserve">The data must be collected in a </w:t>
            </w:r>
            <w:r w:rsidR="00526407" w:rsidRPr="00322158">
              <w:rPr>
                <w:rFonts w:eastAsiaTheme="minorHAnsi"/>
                <w:color w:val="FF0000"/>
              </w:rPr>
              <w:t>two-question</w:t>
            </w:r>
            <w:r w:rsidRPr="00322158">
              <w:rPr>
                <w:rFonts w:eastAsiaTheme="minorHAnsi"/>
                <w:color w:val="FF0000"/>
              </w:rPr>
              <w:t xml:space="preserve"> format; ethnicity followed by race. Self-reporting is the preferred method of collection.</w:t>
            </w:r>
          </w:p>
          <w:p w14:paraId="4D874945" w14:textId="494C905D" w:rsidR="00526407" w:rsidRPr="00660EB1" w:rsidRDefault="00526407" w:rsidP="00322158">
            <w:pPr>
              <w:spacing w:beforeLines="60" w:before="144" w:afterLines="60" w:after="144"/>
              <w:rPr>
                <w:rFonts w:eastAsiaTheme="minorHAnsi"/>
                <w:color w:val="FF0000"/>
              </w:rPr>
            </w:pPr>
            <w:r w:rsidRPr="00660EB1">
              <w:rPr>
                <w:color w:val="FF0000"/>
              </w:rPr>
              <w:t>Sponsors must collect the racial/ethnic data of the children applying for free and reduced-price meals and may use this data for reporting purposes. Households may voluntarily disclose this information on income applications. If not completed by the household, sponsors must obtain this data using other resources, such as enrollment data or by use of visual identification.</w:t>
            </w:r>
          </w:p>
          <w:p w14:paraId="46E05A4C" w14:textId="77777777" w:rsidR="00171D38" w:rsidRDefault="00171D38" w:rsidP="00322158">
            <w:pPr>
              <w:spacing w:beforeLines="60" w:before="144" w:afterLines="60" w:after="144"/>
              <w:rPr>
                <w:rFonts w:eastAsiaTheme="minorHAnsi"/>
                <w:b/>
                <w:color w:val="FF0000"/>
              </w:rPr>
            </w:pPr>
            <w:r>
              <w:rPr>
                <w:rFonts w:eastAsiaTheme="minorHAnsi"/>
                <w:b/>
                <w:color w:val="FF0000"/>
              </w:rPr>
              <w:t>Resources:</w:t>
            </w:r>
          </w:p>
          <w:p w14:paraId="27F502DB" w14:textId="62473B05" w:rsidR="00171D38" w:rsidRPr="00171D38" w:rsidRDefault="00171D38" w:rsidP="00171D38">
            <w:pPr>
              <w:pStyle w:val="ListParagraph"/>
              <w:numPr>
                <w:ilvl w:val="0"/>
                <w:numId w:val="18"/>
              </w:numPr>
              <w:spacing w:beforeLines="60" w:before="144" w:afterLines="60" w:after="144"/>
              <w:rPr>
                <w:rFonts w:eastAsiaTheme="minorHAnsi"/>
                <w:color w:val="FF0000"/>
              </w:rPr>
            </w:pPr>
            <w:r w:rsidRPr="00171D38">
              <w:rPr>
                <w:rFonts w:eastAsiaTheme="minorHAnsi"/>
                <w:color w:val="FF0000"/>
              </w:rPr>
              <w:t xml:space="preserve">Data for all districts can be found </w:t>
            </w:r>
            <w:r w:rsidR="00660EB1">
              <w:rPr>
                <w:rFonts w:eastAsiaTheme="minorHAnsi"/>
                <w:color w:val="FF0000"/>
              </w:rPr>
              <w:t xml:space="preserve">on </w:t>
            </w:r>
            <w:hyperlink r:id="rId17" w:history="1">
              <w:r w:rsidR="00660EB1" w:rsidRPr="00660EB1">
                <w:rPr>
                  <w:rStyle w:val="Hyperlink"/>
                  <w:rFonts w:eastAsiaTheme="minorHAnsi"/>
                </w:rPr>
                <w:t>CDE’s Pupil Membership webpage</w:t>
              </w:r>
            </w:hyperlink>
            <w:r w:rsidR="00660EB1">
              <w:rPr>
                <w:rFonts w:eastAsiaTheme="minorHAnsi"/>
                <w:color w:val="FF0000"/>
              </w:rPr>
              <w:t xml:space="preserve">. </w:t>
            </w:r>
          </w:p>
          <w:p w14:paraId="7D7B5EF3" w14:textId="77777777" w:rsidR="00322158" w:rsidRDefault="00322158" w:rsidP="00B94B0C">
            <w:pPr>
              <w:spacing w:beforeLines="60" w:before="144" w:afterLines="60" w:after="144"/>
              <w:contextualSpacing/>
              <w:rPr>
                <w:b/>
                <w:color w:val="FF0000"/>
              </w:rPr>
            </w:pPr>
          </w:p>
          <w:p w14:paraId="00F696DA" w14:textId="77777777" w:rsidR="00322158" w:rsidRPr="00322158" w:rsidRDefault="00322158" w:rsidP="00B94B0C">
            <w:pPr>
              <w:spacing w:beforeLines="60" w:before="144" w:afterLines="60" w:after="144"/>
              <w:contextualSpacing/>
              <w:rPr>
                <w:b/>
                <w:color w:val="FF0000"/>
              </w:rPr>
            </w:pPr>
          </w:p>
        </w:tc>
      </w:tr>
    </w:tbl>
    <w:p w14:paraId="703CF527" w14:textId="77777777" w:rsidR="004E1573" w:rsidRPr="00B94B0C" w:rsidRDefault="004E1573" w:rsidP="00781409"/>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523"/>
      </w:tblGrid>
      <w:tr w:rsidR="00781409" w:rsidRPr="00B94B0C" w14:paraId="27C27EBE" w14:textId="77777777" w:rsidTr="00B94B0C">
        <w:tc>
          <w:tcPr>
            <w:tcW w:w="5000" w:type="pct"/>
            <w:gridSpan w:val="2"/>
            <w:shd w:val="clear" w:color="auto" w:fill="D9D9D9"/>
          </w:tcPr>
          <w:p w14:paraId="6D95D2BD" w14:textId="77777777" w:rsidR="00781409" w:rsidRPr="00B94B0C" w:rsidRDefault="00781409" w:rsidP="00B94B0C">
            <w:pPr>
              <w:spacing w:beforeLines="60" w:before="144" w:afterLines="60" w:after="144" w:line="240" w:lineRule="auto"/>
              <w:jc w:val="center"/>
              <w:rPr>
                <w:b/>
              </w:rPr>
            </w:pPr>
            <w:r w:rsidRPr="00B94B0C">
              <w:rPr>
                <w:b/>
              </w:rPr>
              <w:t>On-Site Questions</w:t>
            </w:r>
          </w:p>
        </w:tc>
      </w:tr>
      <w:tr w:rsidR="00D53B43" w:rsidRPr="00B94B0C" w14:paraId="6AC47737" w14:textId="77777777" w:rsidTr="00D53B43">
        <w:trPr>
          <w:trHeight w:val="422"/>
        </w:trPr>
        <w:tc>
          <w:tcPr>
            <w:tcW w:w="5000" w:type="pct"/>
            <w:gridSpan w:val="2"/>
          </w:tcPr>
          <w:p w14:paraId="6B851005" w14:textId="77777777" w:rsidR="00D53B43" w:rsidRPr="00B94B0C" w:rsidRDefault="00D53B43" w:rsidP="00B94B0C">
            <w:pPr>
              <w:spacing w:beforeLines="60" w:before="144" w:afterLines="60" w:after="144" w:line="240" w:lineRule="auto"/>
            </w:pPr>
            <w:r w:rsidRPr="00B94B0C">
              <w:t xml:space="preserve">SFA Level Question </w:t>
            </w:r>
          </w:p>
        </w:tc>
      </w:tr>
      <w:tr w:rsidR="00781409" w:rsidRPr="00B94B0C" w14:paraId="7F6E8CF9" w14:textId="77777777" w:rsidTr="00D53B43">
        <w:trPr>
          <w:trHeight w:val="692"/>
        </w:trPr>
        <w:tc>
          <w:tcPr>
            <w:tcW w:w="434" w:type="pct"/>
          </w:tcPr>
          <w:p w14:paraId="0E1E6C4C" w14:textId="355A12A0" w:rsidR="00781409" w:rsidRPr="00B94B0C" w:rsidRDefault="00901A3D" w:rsidP="00B94B0C">
            <w:pPr>
              <w:spacing w:beforeLines="60" w:before="144" w:afterLines="60" w:after="144" w:line="240" w:lineRule="auto"/>
              <w:ind w:left="30"/>
            </w:pPr>
            <w:r>
              <w:t>80</w:t>
            </w:r>
            <w:r w:rsidR="00FC1497">
              <w:t>9</w:t>
            </w:r>
            <w:r w:rsidR="00781409" w:rsidRPr="00B94B0C">
              <w:t>.</w:t>
            </w:r>
          </w:p>
        </w:tc>
        <w:tc>
          <w:tcPr>
            <w:tcW w:w="4566" w:type="pct"/>
            <w:vAlign w:val="center"/>
          </w:tcPr>
          <w:p w14:paraId="402D6811" w14:textId="77777777" w:rsidR="00781409" w:rsidRPr="00B94B0C" w:rsidRDefault="00781409" w:rsidP="00B94B0C">
            <w:pPr>
              <w:spacing w:beforeLines="60" w:before="144" w:afterLines="60" w:after="144" w:line="240" w:lineRule="auto"/>
            </w:pPr>
            <w:r w:rsidRPr="00B94B0C">
              <w:t xml:space="preserve">a. Are denied applications disproportionately submitted by minority households? </w:t>
            </w:r>
          </w:p>
          <w:p w14:paraId="28FE2074" w14:textId="77777777" w:rsidR="00781409" w:rsidRDefault="00781409" w:rsidP="00B94B0C">
            <w:pPr>
              <w:spacing w:beforeLines="60" w:before="144" w:afterLines="60" w:after="144" w:line="240" w:lineRule="auto"/>
              <w:rPr>
                <w:rFonts w:cs="Arial"/>
              </w:rPr>
            </w:pPr>
            <w:r w:rsidRPr="00B94B0C">
              <w:rPr>
                <w:rFonts w:cs="Arial"/>
              </w:rPr>
              <w:t>b. If YES, were they denied correctly?</w:t>
            </w:r>
          </w:p>
          <w:p w14:paraId="382FD889" w14:textId="77777777" w:rsidR="00171D38" w:rsidRDefault="00B7299B" w:rsidP="00B94B0C">
            <w:pPr>
              <w:spacing w:beforeLines="60" w:before="144" w:afterLines="60" w:after="144" w:line="240" w:lineRule="auto"/>
              <w:rPr>
                <w:rFonts w:cs="Arial"/>
                <w:b/>
                <w:color w:val="FF0000"/>
              </w:rPr>
            </w:pPr>
            <w:r w:rsidRPr="00B7299B">
              <w:rPr>
                <w:rFonts w:cs="Arial"/>
                <w:b/>
                <w:color w:val="FF0000"/>
              </w:rPr>
              <w:t xml:space="preserve">Tips: </w:t>
            </w:r>
          </w:p>
          <w:p w14:paraId="1E92C3CF" w14:textId="77777777" w:rsidR="00B7299B" w:rsidRPr="00B7299B" w:rsidRDefault="00B7299B" w:rsidP="00B94B0C">
            <w:pPr>
              <w:spacing w:beforeLines="60" w:before="144" w:afterLines="60" w:after="144" w:line="240" w:lineRule="auto"/>
              <w:rPr>
                <w:color w:val="FF0000"/>
              </w:rPr>
            </w:pPr>
            <w:r>
              <w:rPr>
                <w:rFonts w:cs="Arial"/>
                <w:color w:val="FF0000"/>
              </w:rPr>
              <w:t>Applications cannot be denied based solely on a protected class.</w:t>
            </w:r>
          </w:p>
        </w:tc>
      </w:tr>
      <w:tr w:rsidR="00901A3D" w:rsidRPr="00B94B0C" w14:paraId="4B0E27AF" w14:textId="77777777" w:rsidTr="00D53B43">
        <w:trPr>
          <w:trHeight w:val="692"/>
        </w:trPr>
        <w:tc>
          <w:tcPr>
            <w:tcW w:w="434" w:type="pct"/>
          </w:tcPr>
          <w:p w14:paraId="4F23362D" w14:textId="7053DD6B" w:rsidR="00901A3D" w:rsidRDefault="00901A3D" w:rsidP="00B94B0C">
            <w:pPr>
              <w:spacing w:beforeLines="60" w:before="144" w:afterLines="60" w:after="144" w:line="240" w:lineRule="auto"/>
              <w:ind w:left="30"/>
            </w:pPr>
            <w:r>
              <w:t>8</w:t>
            </w:r>
            <w:r w:rsidR="00FC1497">
              <w:t>10</w:t>
            </w:r>
            <w:r>
              <w:t>.</w:t>
            </w:r>
          </w:p>
        </w:tc>
        <w:tc>
          <w:tcPr>
            <w:tcW w:w="4566" w:type="pct"/>
            <w:vAlign w:val="center"/>
          </w:tcPr>
          <w:p w14:paraId="14E230CB" w14:textId="77777777" w:rsidR="00901A3D" w:rsidRDefault="00901A3D" w:rsidP="00B94B0C">
            <w:pPr>
              <w:spacing w:beforeLines="60" w:before="144" w:afterLines="60" w:after="144" w:line="240" w:lineRule="auto"/>
            </w:pPr>
            <w:r>
              <w:t>Do appropriate Program materials use the non-discrimination statement?</w:t>
            </w:r>
          </w:p>
          <w:p w14:paraId="4476AA6C" w14:textId="77777777" w:rsidR="00951AF6" w:rsidRDefault="00951AF6" w:rsidP="00951AF6">
            <w:pPr>
              <w:spacing w:beforeLines="60" w:before="144" w:afterLines="60" w:after="144"/>
              <w:rPr>
                <w:b/>
                <w:color w:val="FF0000"/>
              </w:rPr>
            </w:pPr>
            <w:r w:rsidRPr="00B94B0C">
              <w:rPr>
                <w:b/>
                <w:color w:val="FF0000"/>
              </w:rPr>
              <w:t xml:space="preserve">Tips: </w:t>
            </w:r>
          </w:p>
          <w:p w14:paraId="0B2330D7" w14:textId="13366D1D" w:rsidR="00526407" w:rsidRPr="007420FF" w:rsidRDefault="00526407" w:rsidP="00526407">
            <w:pPr>
              <w:spacing w:beforeLines="60" w:before="144" w:afterLines="60" w:after="144"/>
              <w:rPr>
                <w:rFonts w:eastAsiaTheme="minorHAnsi"/>
                <w:bCs/>
                <w:color w:val="FF0000"/>
              </w:rPr>
            </w:pPr>
            <w:r w:rsidRPr="00B94B0C">
              <w:rPr>
                <w:rFonts w:eastAsiaTheme="minorHAnsi"/>
                <w:color w:val="FF0000"/>
              </w:rPr>
              <w:t>The non</w:t>
            </w:r>
            <w:r>
              <w:rPr>
                <w:rFonts w:eastAsiaTheme="minorHAnsi"/>
                <w:color w:val="FF0000"/>
              </w:rPr>
              <w:t>-</w:t>
            </w:r>
            <w:r w:rsidRPr="00B94B0C">
              <w:rPr>
                <w:rFonts w:eastAsiaTheme="minorHAnsi"/>
                <w:color w:val="FF0000"/>
              </w:rPr>
              <w:t>discrimination statement must be included on all program materials, including the SFA’s website. If the material is too small to permit the full statement, the abbreviated statement must be included in the same font size as the rest of the material’s text. Note: the full statement can be in smaller font size</w:t>
            </w:r>
            <w:r>
              <w:rPr>
                <w:rFonts w:eastAsiaTheme="minorHAnsi"/>
                <w:color w:val="FF0000"/>
              </w:rPr>
              <w:t xml:space="preserve"> but no smaller than a 9-point font</w:t>
            </w:r>
            <w:r w:rsidRPr="00B94B0C">
              <w:rPr>
                <w:rFonts w:eastAsiaTheme="minorHAnsi"/>
                <w:color w:val="FF0000"/>
              </w:rPr>
              <w:t>.</w:t>
            </w:r>
            <w:r>
              <w:rPr>
                <w:rFonts w:eastAsiaTheme="minorHAnsi"/>
                <w:b/>
                <w:color w:val="FF0000"/>
              </w:rPr>
              <w:t xml:space="preserve"> </w:t>
            </w:r>
            <w:r>
              <w:rPr>
                <w:rFonts w:eastAsiaTheme="minorHAnsi"/>
                <w:bCs/>
                <w:color w:val="FF0000"/>
              </w:rPr>
              <w:t xml:space="preserve">Both the full and shortened statement must contain exact wording. </w:t>
            </w:r>
          </w:p>
          <w:p w14:paraId="60155450" w14:textId="77777777" w:rsidR="00526407" w:rsidRPr="005A5A88" w:rsidRDefault="00526407" w:rsidP="00526407">
            <w:pPr>
              <w:spacing w:beforeLines="60" w:before="144" w:afterLines="60" w:after="144"/>
              <w:rPr>
                <w:rFonts w:eastAsiaTheme="minorHAnsi"/>
                <w:color w:val="FF0000"/>
              </w:rPr>
            </w:pPr>
            <w:r w:rsidRPr="005A5A88">
              <w:rPr>
                <w:rFonts w:eastAsiaTheme="minorHAnsi"/>
                <w:color w:val="FF0000"/>
              </w:rPr>
              <w:t xml:space="preserve">Examples of documents that require the full nondiscrimination statement: household letters, public release, free </w:t>
            </w:r>
            <w:r>
              <w:rPr>
                <w:rFonts w:eastAsiaTheme="minorHAnsi"/>
                <w:color w:val="FF0000"/>
              </w:rPr>
              <w:t>and reduced application packet</w:t>
            </w:r>
            <w:r w:rsidRPr="005A5A88">
              <w:rPr>
                <w:rFonts w:eastAsiaTheme="minorHAnsi"/>
                <w:color w:val="FF0000"/>
              </w:rPr>
              <w:t>, SFA website.</w:t>
            </w:r>
          </w:p>
          <w:p w14:paraId="2D506159" w14:textId="00D230AE" w:rsidR="00526407" w:rsidRDefault="00526407" w:rsidP="00526407">
            <w:pPr>
              <w:spacing w:beforeLines="60" w:before="144" w:afterLines="60" w:after="144"/>
              <w:rPr>
                <w:rFonts w:eastAsiaTheme="minorHAnsi"/>
                <w:color w:val="FF0000"/>
              </w:rPr>
            </w:pPr>
            <w:r w:rsidRPr="005A5A88">
              <w:rPr>
                <w:rFonts w:eastAsiaTheme="minorHAnsi"/>
                <w:color w:val="FF0000"/>
              </w:rPr>
              <w:t>Examples of documents that may use the abbreviated statement: menus</w:t>
            </w:r>
            <w:r>
              <w:rPr>
                <w:rFonts w:eastAsiaTheme="minorHAnsi"/>
                <w:color w:val="FF0000"/>
              </w:rPr>
              <w:t>,</w:t>
            </w:r>
            <w:r w:rsidRPr="005A5A88">
              <w:rPr>
                <w:rFonts w:eastAsiaTheme="minorHAnsi"/>
                <w:color w:val="FF0000"/>
              </w:rPr>
              <w:t xml:space="preserve"> postcards, flyers.</w:t>
            </w:r>
          </w:p>
          <w:p w14:paraId="7FB35677" w14:textId="77777777" w:rsidR="00526407" w:rsidRPr="00B94B0C" w:rsidRDefault="00526407" w:rsidP="00526407">
            <w:pPr>
              <w:pStyle w:val="NoSpacing"/>
              <w:rPr>
                <w:color w:val="FF0000"/>
              </w:rPr>
            </w:pPr>
            <w:r>
              <w:rPr>
                <w:color w:val="FF0000"/>
              </w:rPr>
              <w:lastRenderedPageBreak/>
              <w:t xml:space="preserve">The full non-discrimination statement was updated in the spring of 2022. The deadline to update the full NDS on program websites was August 3, 2022. Other documents, pamphlets, brochures, etc. must be updated when the current supply is exhausted or by September 30, 2023. </w:t>
            </w:r>
          </w:p>
          <w:p w14:paraId="7A708E40" w14:textId="77777777" w:rsidR="00901A3D" w:rsidRPr="00B94B0C" w:rsidRDefault="00901A3D" w:rsidP="00B94B0C">
            <w:pPr>
              <w:spacing w:beforeLines="60" w:before="144" w:afterLines="60" w:after="144" w:line="240" w:lineRule="auto"/>
            </w:pPr>
          </w:p>
        </w:tc>
      </w:tr>
      <w:tr w:rsidR="00D53B43" w:rsidRPr="00B94B0C" w14:paraId="3DE8C71D" w14:textId="77777777" w:rsidTr="00D53B43">
        <w:trPr>
          <w:trHeight w:val="440"/>
        </w:trPr>
        <w:tc>
          <w:tcPr>
            <w:tcW w:w="5000" w:type="pct"/>
            <w:gridSpan w:val="2"/>
          </w:tcPr>
          <w:p w14:paraId="791536EB" w14:textId="77777777" w:rsidR="00D53B43" w:rsidRPr="00B94B0C" w:rsidRDefault="00D53B43" w:rsidP="00B94B0C">
            <w:pPr>
              <w:spacing w:beforeLines="60" w:before="144" w:afterLines="60" w:after="144" w:line="240" w:lineRule="auto"/>
            </w:pPr>
            <w:r w:rsidRPr="00B94B0C">
              <w:lastRenderedPageBreak/>
              <w:t>School Level Questions</w:t>
            </w:r>
          </w:p>
        </w:tc>
      </w:tr>
      <w:tr w:rsidR="001456C0" w:rsidRPr="00B94B0C" w14:paraId="00F98E0D" w14:textId="77777777" w:rsidTr="00D53B43">
        <w:trPr>
          <w:trHeight w:val="602"/>
        </w:trPr>
        <w:tc>
          <w:tcPr>
            <w:tcW w:w="434" w:type="pct"/>
          </w:tcPr>
          <w:p w14:paraId="6885F56D" w14:textId="2F9F0468" w:rsidR="001456C0" w:rsidRPr="00B94B0C" w:rsidRDefault="001456C0" w:rsidP="001456C0">
            <w:pPr>
              <w:spacing w:beforeLines="60" w:before="144" w:afterLines="60" w:after="144" w:line="240" w:lineRule="auto"/>
              <w:ind w:left="30"/>
            </w:pPr>
            <w:r w:rsidRPr="00B94B0C">
              <w:t>81</w:t>
            </w:r>
            <w:r w:rsidR="00E40C6C">
              <w:t>1</w:t>
            </w:r>
            <w:r w:rsidRPr="00B94B0C">
              <w:t>.</w:t>
            </w:r>
          </w:p>
        </w:tc>
        <w:tc>
          <w:tcPr>
            <w:tcW w:w="4566" w:type="pct"/>
            <w:vAlign w:val="center"/>
          </w:tcPr>
          <w:p w14:paraId="76255419" w14:textId="77777777" w:rsidR="001456C0" w:rsidRDefault="001456C0" w:rsidP="00B94B0C">
            <w:pPr>
              <w:spacing w:beforeLines="60" w:before="144" w:afterLines="60" w:after="144" w:line="240" w:lineRule="auto"/>
            </w:pPr>
            <w:r w:rsidRPr="00B94B0C">
              <w:t>Is the USDA “And Justice for All” poster displayed in a prominent location and visible to recipients of benefits?</w:t>
            </w:r>
          </w:p>
          <w:p w14:paraId="11184CCE" w14:textId="77777777" w:rsidR="001456C0" w:rsidRDefault="001456C0" w:rsidP="00B94B0C">
            <w:pPr>
              <w:spacing w:beforeLines="60" w:before="144" w:afterLines="60" w:after="144" w:line="240" w:lineRule="auto"/>
              <w:rPr>
                <w:b/>
                <w:color w:val="FF0000"/>
              </w:rPr>
            </w:pPr>
            <w:r>
              <w:rPr>
                <w:b/>
                <w:color w:val="FF0000"/>
              </w:rPr>
              <w:t xml:space="preserve">Tips: </w:t>
            </w:r>
          </w:p>
          <w:p w14:paraId="5355DDD5" w14:textId="5DF31A45" w:rsidR="000272C6" w:rsidRDefault="000272C6" w:rsidP="000272C6">
            <w:pPr>
              <w:spacing w:beforeLines="60" w:before="144" w:afterLines="60" w:after="144" w:line="240" w:lineRule="auto"/>
              <w:rPr>
                <w:color w:val="FF0000"/>
              </w:rPr>
            </w:pPr>
            <w:r w:rsidRPr="00B7299B">
              <w:rPr>
                <w:rFonts w:eastAsiaTheme="minorHAnsi"/>
                <w:color w:val="FF0000"/>
              </w:rPr>
              <w:t xml:space="preserve">The And Justice poster must be displayed in a location visible and readable to participants. The poster must be </w:t>
            </w:r>
            <w:proofErr w:type="gramStart"/>
            <w:r>
              <w:rPr>
                <w:rFonts w:eastAsiaTheme="minorHAnsi"/>
                <w:color w:val="FF0000"/>
              </w:rPr>
              <w:t>the 11</w:t>
            </w:r>
            <w:proofErr w:type="gramEnd"/>
            <w:r>
              <w:rPr>
                <w:rFonts w:eastAsiaTheme="minorHAnsi"/>
                <w:color w:val="FF0000"/>
              </w:rPr>
              <w:t xml:space="preserve">”x17” in size and in color. </w:t>
            </w:r>
            <w:r w:rsidRPr="00171D38">
              <w:rPr>
                <w:color w:val="FF0000"/>
              </w:rPr>
              <w:t xml:space="preserve">It is not required to have a poster for each </w:t>
            </w:r>
            <w:r>
              <w:rPr>
                <w:color w:val="FF0000"/>
              </w:rPr>
              <w:t>b</w:t>
            </w:r>
            <w:r w:rsidRPr="00171D38">
              <w:rPr>
                <w:color w:val="FF0000"/>
              </w:rPr>
              <w:t xml:space="preserve">reakfast </w:t>
            </w:r>
            <w:proofErr w:type="gramStart"/>
            <w:r w:rsidRPr="00171D38">
              <w:rPr>
                <w:color w:val="FF0000"/>
              </w:rPr>
              <w:t>in</w:t>
            </w:r>
            <w:proofErr w:type="gramEnd"/>
            <w:r w:rsidRPr="00171D38">
              <w:rPr>
                <w:color w:val="FF0000"/>
              </w:rPr>
              <w:t xml:space="preserve"> the classroom site or multiple posters for different point</w:t>
            </w:r>
            <w:r w:rsidR="003724E8">
              <w:rPr>
                <w:color w:val="FF0000"/>
              </w:rPr>
              <w:t>s</w:t>
            </w:r>
            <w:r w:rsidRPr="00171D38">
              <w:rPr>
                <w:color w:val="FF0000"/>
              </w:rPr>
              <w:t xml:space="preserve"> of sale in the same cafeteria. </w:t>
            </w:r>
          </w:p>
          <w:p w14:paraId="202C2081" w14:textId="77777777" w:rsidR="000272C6" w:rsidRPr="0023471D" w:rsidRDefault="000272C6" w:rsidP="000272C6">
            <w:pPr>
              <w:spacing w:beforeLines="60" w:before="144" w:afterLines="60" w:after="144" w:line="240" w:lineRule="auto"/>
              <w:rPr>
                <w:color w:val="FF0000"/>
              </w:rPr>
            </w:pPr>
            <w:r w:rsidRPr="000272C6">
              <w:rPr>
                <w:color w:val="FF0000"/>
              </w:rPr>
              <w:t xml:space="preserve">USDA and CDE School Nutrition do not currently have posters to distribute. USDA is in the process of updating the posters based on the most recent update to the full non-discrimination statement. During this time, printed </w:t>
            </w:r>
            <w:hyperlink r:id="rId18" w:history="1">
              <w:r w:rsidRPr="000272C6">
                <w:rPr>
                  <w:rStyle w:val="Hyperlink"/>
                </w:rPr>
                <w:t>paper copies</w:t>
              </w:r>
            </w:hyperlink>
            <w:r w:rsidRPr="000272C6">
              <w:rPr>
                <w:color w:val="FF0000"/>
              </w:rPr>
              <w:t xml:space="preserve"> or older edition of the “And Justice for All” poster may be displayed as necessary.</w:t>
            </w:r>
          </w:p>
          <w:p w14:paraId="6C4728EA" w14:textId="79126FBF" w:rsidR="001456C0" w:rsidRPr="00B7299B" w:rsidRDefault="001456C0" w:rsidP="00747C12">
            <w:pPr>
              <w:spacing w:beforeLines="60" w:before="144" w:afterLines="60" w:after="144" w:line="240" w:lineRule="auto"/>
              <w:rPr>
                <w:rFonts w:eastAsiaTheme="minorHAnsi"/>
                <w:color w:val="FF0000"/>
              </w:rPr>
            </w:pPr>
          </w:p>
        </w:tc>
      </w:tr>
      <w:tr w:rsidR="001456C0" w:rsidRPr="00B94B0C" w14:paraId="5733895A" w14:textId="77777777" w:rsidTr="00B94B0C">
        <w:trPr>
          <w:trHeight w:val="512"/>
        </w:trPr>
        <w:tc>
          <w:tcPr>
            <w:tcW w:w="434" w:type="pct"/>
          </w:tcPr>
          <w:p w14:paraId="00CB31B6" w14:textId="77777777" w:rsidR="001456C0" w:rsidRPr="00B94B0C" w:rsidRDefault="001456C0" w:rsidP="00B94B0C">
            <w:pPr>
              <w:spacing w:beforeLines="60" w:before="144" w:afterLines="60" w:after="144" w:line="240" w:lineRule="auto"/>
              <w:ind w:left="30"/>
            </w:pPr>
            <w:r>
              <w:t>812</w:t>
            </w:r>
            <w:r w:rsidRPr="00B94B0C">
              <w:t>.</w:t>
            </w:r>
          </w:p>
        </w:tc>
        <w:tc>
          <w:tcPr>
            <w:tcW w:w="4566" w:type="pct"/>
            <w:vAlign w:val="center"/>
          </w:tcPr>
          <w:p w14:paraId="0E3ED44F" w14:textId="77777777" w:rsidR="001456C0" w:rsidRDefault="001456C0" w:rsidP="00B94B0C">
            <w:pPr>
              <w:spacing w:beforeLines="60" w:before="144" w:afterLines="60" w:after="144" w:line="240" w:lineRule="auto"/>
            </w:pPr>
            <w:r w:rsidRPr="00B94B0C">
              <w:t>Do meal service observations on the day of review indicate that program benefits were made available to all children without discrimination?</w:t>
            </w:r>
          </w:p>
          <w:p w14:paraId="7162A274" w14:textId="77777777" w:rsidR="00390F35" w:rsidRDefault="001456C0" w:rsidP="00B94B0C">
            <w:pPr>
              <w:spacing w:beforeLines="60" w:before="144" w:afterLines="60" w:after="144" w:line="240" w:lineRule="auto"/>
              <w:rPr>
                <w:b/>
                <w:color w:val="FF0000"/>
              </w:rPr>
            </w:pPr>
            <w:r>
              <w:rPr>
                <w:b/>
                <w:color w:val="FF0000"/>
              </w:rPr>
              <w:t xml:space="preserve">Tips: </w:t>
            </w:r>
          </w:p>
          <w:p w14:paraId="1B639ABA" w14:textId="786F4BCA" w:rsidR="001456C0" w:rsidRPr="00B7299B" w:rsidRDefault="00390F35" w:rsidP="00B94B0C">
            <w:pPr>
              <w:spacing w:beforeLines="60" w:before="144" w:afterLines="60" w:after="144" w:line="240" w:lineRule="auto"/>
              <w:rPr>
                <w:color w:val="FF0000"/>
              </w:rPr>
            </w:pPr>
            <w:r w:rsidRPr="00B7299B">
              <w:rPr>
                <w:color w:val="FF0000"/>
              </w:rPr>
              <w:t xml:space="preserve">No discrimination can occur during meal service, </w:t>
            </w:r>
            <w:proofErr w:type="gramStart"/>
            <w:r w:rsidRPr="00B7299B">
              <w:rPr>
                <w:color w:val="FF0000"/>
              </w:rPr>
              <w:t>i.e.</w:t>
            </w:r>
            <w:proofErr w:type="gramEnd"/>
            <w:r w:rsidRPr="00B7299B">
              <w:rPr>
                <w:color w:val="FF0000"/>
              </w:rPr>
              <w:t xml:space="preserve"> separating genders, providing one group or type of participants larger or extra helpings of food, failing to provide </w:t>
            </w:r>
            <w:r>
              <w:rPr>
                <w:color w:val="FF0000"/>
              </w:rPr>
              <w:t xml:space="preserve">meal accommodations for </w:t>
            </w:r>
            <w:r w:rsidRPr="00B7299B">
              <w:rPr>
                <w:color w:val="FF0000"/>
              </w:rPr>
              <w:t>children with a disabili</w:t>
            </w:r>
            <w:r>
              <w:rPr>
                <w:color w:val="FF0000"/>
              </w:rPr>
              <w:t>ties</w:t>
            </w:r>
            <w:r w:rsidRPr="00B7299B">
              <w:rPr>
                <w:color w:val="FF0000"/>
              </w:rPr>
              <w:t>.</w:t>
            </w:r>
          </w:p>
        </w:tc>
      </w:tr>
    </w:tbl>
    <w:p w14:paraId="6F293798" w14:textId="77777777" w:rsidR="00D668A7" w:rsidRDefault="00D668A7" w:rsidP="00171D38">
      <w:pPr>
        <w:spacing w:after="0" w:line="240" w:lineRule="auto"/>
        <w:rPr>
          <w:rFonts w:ascii="Verdana" w:eastAsia="Times New Roman" w:hAnsi="Verdana" w:cs="Arial"/>
          <w:b/>
          <w:bCs/>
          <w:sz w:val="24"/>
          <w:szCs w:val="24"/>
        </w:rPr>
      </w:pPr>
    </w:p>
    <w:sectPr w:rsidR="00D668A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2F85" w14:textId="77777777" w:rsidR="00603FC4" w:rsidRDefault="00603FC4" w:rsidP="00A80822">
      <w:pPr>
        <w:spacing w:after="0" w:line="240" w:lineRule="auto"/>
      </w:pPr>
      <w:r>
        <w:separator/>
      </w:r>
    </w:p>
  </w:endnote>
  <w:endnote w:type="continuationSeparator" w:id="0">
    <w:p w14:paraId="5E36625D" w14:textId="77777777" w:rsidR="00603FC4" w:rsidRDefault="00603FC4" w:rsidP="00A8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lab 500">
    <w:altName w:val="Calibri"/>
    <w:panose1 w:val="02000000000000000000"/>
    <w:charset w:val="00"/>
    <w:family w:val="modern"/>
    <w:notTrueType/>
    <w:pitch w:val="variable"/>
    <w:sig w:usb0="A00000A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5418"/>
      <w:docPartObj>
        <w:docPartGallery w:val="Page Numbers (Bottom of Page)"/>
        <w:docPartUnique/>
      </w:docPartObj>
    </w:sdtPr>
    <w:sdtEndPr>
      <w:rPr>
        <w:noProof/>
      </w:rPr>
    </w:sdtEndPr>
    <w:sdtContent>
      <w:p w14:paraId="3DFD812C" w14:textId="77777777" w:rsidR="00603FC4" w:rsidRDefault="00603FC4" w:rsidP="003C0D43">
        <w:pPr>
          <w:pStyle w:val="Footer"/>
          <w:tabs>
            <w:tab w:val="left" w:pos="3990"/>
          </w:tabs>
        </w:pPr>
        <w:r>
          <w:tab/>
        </w:r>
        <w:r>
          <w:tab/>
        </w:r>
        <w:r>
          <w:tab/>
        </w:r>
        <w:r>
          <w:fldChar w:fldCharType="begin"/>
        </w:r>
        <w:r>
          <w:instrText xml:space="preserve"> PAGE   \* MERGEFORMAT </w:instrText>
        </w:r>
        <w:r>
          <w:fldChar w:fldCharType="separate"/>
        </w:r>
        <w:r w:rsidR="0067319D">
          <w:rPr>
            <w:noProof/>
          </w:rPr>
          <w:t>5</w:t>
        </w:r>
        <w:r>
          <w:rPr>
            <w:noProof/>
          </w:rPr>
          <w:fldChar w:fldCharType="end"/>
        </w:r>
      </w:p>
    </w:sdtContent>
  </w:sdt>
  <w:p w14:paraId="41515199" w14:textId="77777777" w:rsidR="00603FC4" w:rsidRPr="00DC7ECF" w:rsidRDefault="00603FC4" w:rsidP="003C0D43">
    <w:pPr>
      <w:autoSpaceDE w:val="0"/>
      <w:autoSpaceDN w:val="0"/>
      <w:adjustRightInd w:val="0"/>
      <w:spacing w:after="0" w:line="240" w:lineRule="auto"/>
      <w:rPr>
        <w:rFonts w:cs="Arial"/>
      </w:rPr>
    </w:pPr>
    <w:r w:rsidRPr="00DC7ECF">
      <w:tab/>
    </w:r>
    <w:r w:rsidRPr="00DC7ECF">
      <w:tab/>
    </w:r>
    <w:r w:rsidRPr="00DC7ECF">
      <w:tab/>
    </w:r>
    <w:r w:rsidRPr="00DC7ECF">
      <w:rPr>
        <w:rFonts w:cs="Arial"/>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A7F9" w14:textId="77777777" w:rsidR="00603FC4" w:rsidRDefault="00603FC4" w:rsidP="00A80822">
      <w:pPr>
        <w:spacing w:after="0" w:line="240" w:lineRule="auto"/>
      </w:pPr>
      <w:r>
        <w:separator/>
      </w:r>
    </w:p>
  </w:footnote>
  <w:footnote w:type="continuationSeparator" w:id="0">
    <w:p w14:paraId="196EAC03" w14:textId="77777777" w:rsidR="00603FC4" w:rsidRDefault="00603FC4" w:rsidP="00A8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A09A" w14:textId="77777777" w:rsidR="00603FC4" w:rsidRPr="00A80822" w:rsidRDefault="00603FC4" w:rsidP="00A80822">
    <w:pPr>
      <w:pStyle w:val="Header"/>
      <w:jc w:val="center"/>
      <w:rPr>
        <w:b/>
      </w:rPr>
    </w:pPr>
    <w:r>
      <w:rPr>
        <w:b/>
      </w:rPr>
      <w:t>USDA Administrative Review: Civil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351"/>
    <w:multiLevelType w:val="hybridMultilevel"/>
    <w:tmpl w:val="6F3A6EBE"/>
    <w:lvl w:ilvl="0" w:tplc="F29286EE">
      <w:start w:val="80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5828"/>
    <w:multiLevelType w:val="hybridMultilevel"/>
    <w:tmpl w:val="1DA481B6"/>
    <w:lvl w:ilvl="0" w:tplc="FB72FC2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17DA5"/>
    <w:multiLevelType w:val="hybridMultilevel"/>
    <w:tmpl w:val="F29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1DCC"/>
    <w:multiLevelType w:val="hybridMultilevel"/>
    <w:tmpl w:val="53E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13BE3"/>
    <w:multiLevelType w:val="hybridMultilevel"/>
    <w:tmpl w:val="3260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E5183"/>
    <w:multiLevelType w:val="hybridMultilevel"/>
    <w:tmpl w:val="AF143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34EDD"/>
    <w:multiLevelType w:val="hybridMultilevel"/>
    <w:tmpl w:val="86A0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F1A8A"/>
    <w:multiLevelType w:val="hybridMultilevel"/>
    <w:tmpl w:val="BDD8810E"/>
    <w:lvl w:ilvl="0" w:tplc="F29286EE">
      <w:start w:val="80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70A1"/>
    <w:multiLevelType w:val="hybridMultilevel"/>
    <w:tmpl w:val="3802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34608"/>
    <w:multiLevelType w:val="hybridMultilevel"/>
    <w:tmpl w:val="CE90F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D64BBE"/>
    <w:multiLevelType w:val="hybridMultilevel"/>
    <w:tmpl w:val="5A4EB534"/>
    <w:lvl w:ilvl="0" w:tplc="2ACC44E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34B6A"/>
    <w:multiLevelType w:val="hybridMultilevel"/>
    <w:tmpl w:val="C176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E4477"/>
    <w:multiLevelType w:val="hybridMultilevel"/>
    <w:tmpl w:val="889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A4927"/>
    <w:multiLevelType w:val="hybridMultilevel"/>
    <w:tmpl w:val="F100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50CD1"/>
    <w:multiLevelType w:val="hybridMultilevel"/>
    <w:tmpl w:val="4EA46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1C5159"/>
    <w:multiLevelType w:val="hybridMultilevel"/>
    <w:tmpl w:val="28F6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743C"/>
    <w:multiLevelType w:val="hybridMultilevel"/>
    <w:tmpl w:val="CD0C00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0E054D"/>
    <w:multiLevelType w:val="hybridMultilevel"/>
    <w:tmpl w:val="EFCA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861"/>
    <w:multiLevelType w:val="hybridMultilevel"/>
    <w:tmpl w:val="84D6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154C7"/>
    <w:multiLevelType w:val="hybridMultilevel"/>
    <w:tmpl w:val="F95837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C80613"/>
    <w:multiLevelType w:val="hybridMultilevel"/>
    <w:tmpl w:val="8676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243486">
    <w:abstractNumId w:val="7"/>
  </w:num>
  <w:num w:numId="2" w16cid:durableId="1793405514">
    <w:abstractNumId w:val="14"/>
  </w:num>
  <w:num w:numId="3" w16cid:durableId="619848738">
    <w:abstractNumId w:val="0"/>
  </w:num>
  <w:num w:numId="4" w16cid:durableId="500584835">
    <w:abstractNumId w:val="8"/>
  </w:num>
  <w:num w:numId="5" w16cid:durableId="2089764176">
    <w:abstractNumId w:val="20"/>
  </w:num>
  <w:num w:numId="6" w16cid:durableId="242179171">
    <w:abstractNumId w:val="17"/>
  </w:num>
  <w:num w:numId="7" w16cid:durableId="1998723632">
    <w:abstractNumId w:val="15"/>
  </w:num>
  <w:num w:numId="8" w16cid:durableId="551617182">
    <w:abstractNumId w:val="16"/>
  </w:num>
  <w:num w:numId="9" w16cid:durableId="557664216">
    <w:abstractNumId w:val="5"/>
  </w:num>
  <w:num w:numId="10" w16cid:durableId="1080713300">
    <w:abstractNumId w:val="19"/>
  </w:num>
  <w:num w:numId="11" w16cid:durableId="1009024092">
    <w:abstractNumId w:val="9"/>
  </w:num>
  <w:num w:numId="12" w16cid:durableId="524976085">
    <w:abstractNumId w:val="4"/>
  </w:num>
  <w:num w:numId="13" w16cid:durableId="187721332">
    <w:abstractNumId w:val="11"/>
  </w:num>
  <w:num w:numId="14" w16cid:durableId="288098354">
    <w:abstractNumId w:val="2"/>
  </w:num>
  <w:num w:numId="15" w16cid:durableId="2060549910">
    <w:abstractNumId w:val="12"/>
  </w:num>
  <w:num w:numId="16" w16cid:durableId="499737846">
    <w:abstractNumId w:val="6"/>
  </w:num>
  <w:num w:numId="17" w16cid:durableId="837497321">
    <w:abstractNumId w:val="10"/>
  </w:num>
  <w:num w:numId="18" w16cid:durableId="423234267">
    <w:abstractNumId w:val="13"/>
  </w:num>
  <w:num w:numId="19" w16cid:durableId="652564829">
    <w:abstractNumId w:val="3"/>
  </w:num>
  <w:num w:numId="20" w16cid:durableId="1679195678">
    <w:abstractNumId w:val="18"/>
  </w:num>
  <w:num w:numId="21" w16cid:durableId="83495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22"/>
    <w:rsid w:val="0001510C"/>
    <w:rsid w:val="000272C6"/>
    <w:rsid w:val="00093DE0"/>
    <w:rsid w:val="000B4690"/>
    <w:rsid w:val="001378B4"/>
    <w:rsid w:val="001456C0"/>
    <w:rsid w:val="00162A75"/>
    <w:rsid w:val="00171D38"/>
    <w:rsid w:val="00245D97"/>
    <w:rsid w:val="00292224"/>
    <w:rsid w:val="002D548A"/>
    <w:rsid w:val="00322158"/>
    <w:rsid w:val="003724E8"/>
    <w:rsid w:val="00390F35"/>
    <w:rsid w:val="003C0D43"/>
    <w:rsid w:val="004A0103"/>
    <w:rsid w:val="004D3816"/>
    <w:rsid w:val="004E1573"/>
    <w:rsid w:val="00526407"/>
    <w:rsid w:val="00537D5A"/>
    <w:rsid w:val="005A5A88"/>
    <w:rsid w:val="005B4B05"/>
    <w:rsid w:val="00603FC4"/>
    <w:rsid w:val="00660EB1"/>
    <w:rsid w:val="0067319D"/>
    <w:rsid w:val="006B4B20"/>
    <w:rsid w:val="0072553A"/>
    <w:rsid w:val="00747C12"/>
    <w:rsid w:val="00781409"/>
    <w:rsid w:val="00792842"/>
    <w:rsid w:val="007E2576"/>
    <w:rsid w:val="007F3FD8"/>
    <w:rsid w:val="00824AA2"/>
    <w:rsid w:val="008B0255"/>
    <w:rsid w:val="00901A3D"/>
    <w:rsid w:val="00933F95"/>
    <w:rsid w:val="00951AF6"/>
    <w:rsid w:val="00980C3F"/>
    <w:rsid w:val="009E40CB"/>
    <w:rsid w:val="00A10B62"/>
    <w:rsid w:val="00A44CEC"/>
    <w:rsid w:val="00A777DA"/>
    <w:rsid w:val="00A80822"/>
    <w:rsid w:val="00AD705D"/>
    <w:rsid w:val="00AE5BBF"/>
    <w:rsid w:val="00B36408"/>
    <w:rsid w:val="00B60D3C"/>
    <w:rsid w:val="00B61163"/>
    <w:rsid w:val="00B7299B"/>
    <w:rsid w:val="00B91FC4"/>
    <w:rsid w:val="00B94B0C"/>
    <w:rsid w:val="00CA379E"/>
    <w:rsid w:val="00CA66A8"/>
    <w:rsid w:val="00D1017E"/>
    <w:rsid w:val="00D53B43"/>
    <w:rsid w:val="00D668A7"/>
    <w:rsid w:val="00DB0E1B"/>
    <w:rsid w:val="00DC7ECF"/>
    <w:rsid w:val="00DD0D15"/>
    <w:rsid w:val="00E001C7"/>
    <w:rsid w:val="00E40C6C"/>
    <w:rsid w:val="00F10EDE"/>
    <w:rsid w:val="00F43922"/>
    <w:rsid w:val="00F47741"/>
    <w:rsid w:val="00F806AA"/>
    <w:rsid w:val="00FA4561"/>
    <w:rsid w:val="00FC1497"/>
    <w:rsid w:val="00FE29DB"/>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8BAE9D"/>
  <w15:docId w15:val="{DC8725CF-DE60-4C5C-AE0B-496D61A2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09"/>
    <w:rPr>
      <w:rFonts w:eastAsiaTheme="minorEastAsia"/>
    </w:rPr>
  </w:style>
  <w:style w:type="paragraph" w:styleId="Heading1">
    <w:name w:val="heading 1"/>
    <w:basedOn w:val="Normal"/>
    <w:next w:val="Normal"/>
    <w:link w:val="Heading1Char"/>
    <w:uiPriority w:val="9"/>
    <w:qFormat/>
    <w:rsid w:val="00162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82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80822"/>
  </w:style>
  <w:style w:type="paragraph" w:styleId="Footer">
    <w:name w:val="footer"/>
    <w:basedOn w:val="Normal"/>
    <w:link w:val="FooterChar"/>
    <w:uiPriority w:val="99"/>
    <w:unhideWhenUsed/>
    <w:rsid w:val="00A8082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80822"/>
  </w:style>
  <w:style w:type="table" w:customStyle="1" w:styleId="TableGrid3">
    <w:name w:val="Table Grid3"/>
    <w:basedOn w:val="TableNormal"/>
    <w:next w:val="TableGrid"/>
    <w:uiPriority w:val="59"/>
    <w:rsid w:val="007814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8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4B0C"/>
    <w:pPr>
      <w:spacing w:after="0" w:line="240" w:lineRule="auto"/>
    </w:pPr>
  </w:style>
  <w:style w:type="paragraph" w:styleId="ListParagraph">
    <w:name w:val="List Paragraph"/>
    <w:basedOn w:val="Normal"/>
    <w:uiPriority w:val="34"/>
    <w:qFormat/>
    <w:rsid w:val="00B94B0C"/>
    <w:pPr>
      <w:ind w:left="720"/>
      <w:contextualSpacing/>
    </w:pPr>
  </w:style>
  <w:style w:type="character" w:styleId="Hyperlink">
    <w:name w:val="Hyperlink"/>
    <w:basedOn w:val="DefaultParagraphFont"/>
    <w:uiPriority w:val="99"/>
    <w:unhideWhenUsed/>
    <w:rsid w:val="00D668A7"/>
    <w:rPr>
      <w:color w:val="0000FF" w:themeColor="hyperlink"/>
      <w:u w:val="single"/>
    </w:rPr>
  </w:style>
  <w:style w:type="paragraph" w:customStyle="1" w:styleId="HeadingMuseo">
    <w:name w:val="Heading Museo"/>
    <w:basedOn w:val="Heading1"/>
    <w:qFormat/>
    <w:rsid w:val="00162A75"/>
    <w:pPr>
      <w:keepNext w:val="0"/>
      <w:keepLines w:val="0"/>
      <w:pBdr>
        <w:bottom w:val="single" w:sz="8" w:space="1" w:color="666666" w:themeColor="text1" w:themeTint="99"/>
      </w:pBdr>
      <w:tabs>
        <w:tab w:val="left" w:pos="90"/>
      </w:tabs>
      <w:spacing w:before="120" w:after="120" w:line="240" w:lineRule="auto"/>
    </w:pPr>
    <w:rPr>
      <w:rFonts w:ascii="Museo Slab 500" w:eastAsiaTheme="minorHAnsi" w:hAnsi="Museo Slab 500" w:cstheme="minorBidi"/>
      <w:b w:val="0"/>
      <w:color w:val="000000" w:themeColor="text1"/>
      <w:sz w:val="30"/>
      <w:szCs w:val="30"/>
    </w:rPr>
  </w:style>
  <w:style w:type="character" w:customStyle="1" w:styleId="Heading1Char">
    <w:name w:val="Heading 1 Char"/>
    <w:basedOn w:val="DefaultParagraphFont"/>
    <w:link w:val="Heading1"/>
    <w:uiPriority w:val="9"/>
    <w:rsid w:val="00162A7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3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95"/>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72553A"/>
    <w:rPr>
      <w:color w:val="800080" w:themeColor="followedHyperlink"/>
      <w:u w:val="single"/>
    </w:rPr>
  </w:style>
  <w:style w:type="character" w:styleId="UnresolvedMention">
    <w:name w:val="Unresolved Mention"/>
    <w:basedOn w:val="DefaultParagraphFont"/>
    <w:uiPriority w:val="99"/>
    <w:semiHidden/>
    <w:unhideWhenUsed/>
    <w:rsid w:val="00245D97"/>
    <w:rPr>
      <w:color w:val="605E5C"/>
      <w:shd w:val="clear" w:color="auto" w:fill="E1DFDD"/>
    </w:rPr>
  </w:style>
  <w:style w:type="character" w:styleId="CommentReference">
    <w:name w:val="annotation reference"/>
    <w:basedOn w:val="DefaultParagraphFont"/>
    <w:uiPriority w:val="99"/>
    <w:semiHidden/>
    <w:unhideWhenUsed/>
    <w:rsid w:val="00526407"/>
    <w:rPr>
      <w:sz w:val="16"/>
      <w:szCs w:val="16"/>
    </w:rPr>
  </w:style>
  <w:style w:type="paragraph" w:styleId="CommentText">
    <w:name w:val="annotation text"/>
    <w:basedOn w:val="Normal"/>
    <w:link w:val="CommentTextChar"/>
    <w:uiPriority w:val="99"/>
    <w:unhideWhenUsed/>
    <w:rsid w:val="00526407"/>
    <w:pPr>
      <w:spacing w:line="240" w:lineRule="auto"/>
    </w:pPr>
    <w:rPr>
      <w:sz w:val="20"/>
      <w:szCs w:val="20"/>
    </w:rPr>
  </w:style>
  <w:style w:type="character" w:customStyle="1" w:styleId="CommentTextChar">
    <w:name w:val="Comment Text Char"/>
    <w:basedOn w:val="DefaultParagraphFont"/>
    <w:link w:val="CommentText"/>
    <w:uiPriority w:val="99"/>
    <w:rsid w:val="0052640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determine-program-eligibility" TargetMode="External"/><Relationship Id="rId13" Type="http://schemas.openxmlformats.org/officeDocument/2006/relationships/hyperlink" Target="http://www.cde.state.co.us/nutrition/nutriSpecDietaryNeeds.htm" TargetMode="External"/><Relationship Id="rId18" Type="http://schemas.openxmlformats.org/officeDocument/2006/relationships/hyperlink" Target="https://www.usda.gov/sites/default/files/documents/JFAgreen50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e.state.co.us/nutrition/civil-rights" TargetMode="External"/><Relationship Id="rId12" Type="http://schemas.openxmlformats.org/officeDocument/2006/relationships/hyperlink" Target="https://www.cde.state.co.us/nutrition/specialdietaryneedsdetermininganon-dairybeveragesnutrients" TargetMode="External"/><Relationship Id="rId17" Type="http://schemas.openxmlformats.org/officeDocument/2006/relationships/hyperlink" Target="https://www.cde.state.co.us/cdereval/pupilcurrent" TargetMode="External"/><Relationship Id="rId2" Type="http://schemas.openxmlformats.org/officeDocument/2006/relationships/styles" Target="styles.xml"/><Relationship Id="rId16" Type="http://schemas.openxmlformats.org/officeDocument/2006/relationships/hyperlink" Target="http://www.cde.state.co.us/nutrition/civilrightsbicteacherstrainingmem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nutrition/civil-rights" TargetMode="External"/><Relationship Id="rId5" Type="http://schemas.openxmlformats.org/officeDocument/2006/relationships/footnotes" Target="footnotes.xml"/><Relationship Id="rId15" Type="http://schemas.openxmlformats.org/officeDocument/2006/relationships/hyperlink" Target="http://www.cde.state.co.us/nutrition/civil-rights" TargetMode="External"/><Relationship Id="rId10" Type="http://schemas.openxmlformats.org/officeDocument/2006/relationships/hyperlink" Target="https://www.cde.state.co.us/nutrition/national-school-lunch-program-outreach-toolk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state.co.us/nutrition/determine-program-eligibility" TargetMode="External"/><Relationship Id="rId14" Type="http://schemas.openxmlformats.org/officeDocument/2006/relationships/hyperlink" Target="https://www.cde.state.co.us/nutrition/plan-me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Brehan</dc:creator>
  <cp:lastModifiedBy>Opgenorth, Erin</cp:lastModifiedBy>
  <cp:revision>13</cp:revision>
  <cp:lastPrinted>2015-06-24T21:55:00Z</cp:lastPrinted>
  <dcterms:created xsi:type="dcterms:W3CDTF">2019-08-01T20:40:00Z</dcterms:created>
  <dcterms:modified xsi:type="dcterms:W3CDTF">2023-09-28T20:28:00Z</dcterms:modified>
</cp:coreProperties>
</file>