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62CF" w14:textId="77777777" w:rsidR="0086052E" w:rsidRPr="00A450B8" w:rsidRDefault="00886279" w:rsidP="00B97B79">
      <w:pPr>
        <w:pStyle w:val="Heading1"/>
        <w:rPr>
          <w:color w:val="auto"/>
          <w:sz w:val="40"/>
          <w:szCs w:val="40"/>
        </w:rPr>
      </w:pPr>
      <w:r w:rsidRPr="00A450B8">
        <w:rPr>
          <w:color w:val="auto"/>
          <w:sz w:val="40"/>
          <w:szCs w:val="40"/>
        </w:rPr>
        <w:t xml:space="preserve">TITLE IV, </w:t>
      </w:r>
      <w:proofErr w:type="gramStart"/>
      <w:r w:rsidRPr="00A450B8">
        <w:rPr>
          <w:color w:val="auto"/>
          <w:sz w:val="40"/>
          <w:szCs w:val="40"/>
        </w:rPr>
        <w:t>PART A</w:t>
      </w:r>
      <w:proofErr w:type="gramEnd"/>
      <w:r w:rsidRPr="00A450B8">
        <w:rPr>
          <w:color w:val="auto"/>
          <w:sz w:val="40"/>
          <w:szCs w:val="40"/>
        </w:rPr>
        <w:t xml:space="preserve"> ALLOWABLE USES</w:t>
      </w:r>
    </w:p>
    <w:p w14:paraId="0FB87884" w14:textId="0985B682" w:rsidR="00D167BF" w:rsidRPr="00A450B8" w:rsidRDefault="008F4D43" w:rsidP="00D167BF">
      <w:pPr>
        <w:pStyle w:val="Heading2"/>
        <w:rPr>
          <w:color w:val="auto"/>
          <w:sz w:val="28"/>
          <w:szCs w:val="28"/>
        </w:rPr>
      </w:pPr>
      <w:r w:rsidRPr="00A450B8">
        <w:rPr>
          <w:color w:val="auto"/>
          <w:sz w:val="28"/>
          <w:szCs w:val="28"/>
        </w:rPr>
        <w:t>Consolidated Application Planning Resource</w:t>
      </w:r>
    </w:p>
    <w:p w14:paraId="32F42736" w14:textId="77777777" w:rsidR="00886279" w:rsidRPr="00A450B8" w:rsidRDefault="00886279" w:rsidP="00886279">
      <w:pPr>
        <w:spacing w:after="120" w:line="240" w:lineRule="auto"/>
        <w:ind w:right="0"/>
        <w:rPr>
          <w:rFonts w:eastAsia="MS PGothic"/>
          <w:szCs w:val="24"/>
        </w:rPr>
      </w:pPr>
      <w:r w:rsidRPr="00A450B8">
        <w:rPr>
          <w:rFonts w:eastAsia="MS PGothic"/>
          <w:szCs w:val="24"/>
        </w:rPr>
        <w:t>Title IV, Part A of the Every Student Succeeds Act of 2015 is intended to improve students’ academic achievement by increasing the capacity of States, local educational agencies (LEAs), schools, and local communities to provide all students with access to a well-rounded education, improve school conditions for student learning, and improve the use of technology in order to improve the academic achievement and digital literacy of all students.  Activities may include, but are not limited, to the following:</w:t>
      </w:r>
    </w:p>
    <w:p w14:paraId="5B91127D" w14:textId="77777777" w:rsidR="00953810" w:rsidRPr="00A450B8" w:rsidRDefault="00953810" w:rsidP="0033217A">
      <w:pPr>
        <w:spacing w:after="0"/>
        <w:ind w:left="720" w:firstLine="720"/>
        <w:jc w:val="right"/>
        <w:rPr>
          <w:b/>
        </w:rPr>
      </w:pPr>
      <w:r w:rsidRPr="00A450B8">
        <w:rPr>
          <w:b/>
        </w:rPr>
        <w:t>Well-Rounded Educational Opportunities</w:t>
      </w:r>
    </w:p>
    <w:p w14:paraId="677F3760" w14:textId="77777777" w:rsidR="00886279" w:rsidRPr="00FF4CF2" w:rsidRDefault="00953810" w:rsidP="0033217A">
      <w:pPr>
        <w:spacing w:after="0" w:line="240" w:lineRule="auto"/>
        <w:ind w:right="0"/>
        <w:jc w:val="center"/>
        <w:rPr>
          <w:b/>
          <w:bCs/>
        </w:rPr>
      </w:pPr>
      <w:r w:rsidRPr="00FF4CF2">
        <w:rPr>
          <w:b/>
          <w:bCs/>
        </w:rPr>
        <w:t>§ 4107(a)(</w:t>
      </w:r>
      <w:proofErr w:type="gramStart"/>
      <w:r w:rsidRPr="00FF4CF2">
        <w:rPr>
          <w:b/>
          <w:bCs/>
        </w:rPr>
        <w:t>3)(</w:t>
      </w:r>
      <w:proofErr w:type="gramEnd"/>
      <w:r w:rsidRPr="00FF4CF2">
        <w:rPr>
          <w:b/>
          <w:bCs/>
        </w:rPr>
        <w:t>A-J)</w:t>
      </w:r>
    </w:p>
    <w:tbl>
      <w:tblPr>
        <w:tblW w:w="10801" w:type="dxa"/>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4A0" w:firstRow="1" w:lastRow="0" w:firstColumn="1" w:lastColumn="0" w:noHBand="0" w:noVBand="1"/>
      </w:tblPr>
      <w:tblGrid>
        <w:gridCol w:w="4225"/>
        <w:gridCol w:w="6576"/>
      </w:tblGrid>
      <w:tr w:rsidR="00193F26" w:rsidRPr="00FF4CF2" w14:paraId="171F0B22" w14:textId="77777777" w:rsidTr="00BA7042">
        <w:trPr>
          <w:trHeight w:val="276"/>
          <w:tblHeader/>
          <w:jc w:val="center"/>
        </w:trPr>
        <w:tc>
          <w:tcPr>
            <w:tcW w:w="4225" w:type="dxa"/>
            <w:shd w:val="clear" w:color="auto" w:fill="FFF2CC" w:themeFill="accent4" w:themeFillTint="33"/>
            <w:vAlign w:val="center"/>
          </w:tcPr>
          <w:p w14:paraId="167C4248" w14:textId="77777777" w:rsidR="00193F26" w:rsidRPr="00FF4CF2" w:rsidRDefault="00193F26" w:rsidP="00A450B8">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Activity Category</w:t>
            </w:r>
          </w:p>
        </w:tc>
        <w:tc>
          <w:tcPr>
            <w:tcW w:w="6576" w:type="dxa"/>
            <w:shd w:val="clear" w:color="auto" w:fill="FFF2CC" w:themeFill="accent4" w:themeFillTint="33"/>
            <w:vAlign w:val="center"/>
          </w:tcPr>
          <w:p w14:paraId="380786EB" w14:textId="77777777" w:rsidR="00193F26" w:rsidRPr="00FF4CF2" w:rsidRDefault="00193F26" w:rsidP="00A450B8">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Category Description</w:t>
            </w:r>
          </w:p>
        </w:tc>
      </w:tr>
      <w:tr w:rsidR="00193F26" w:rsidRPr="00FF4CF2" w14:paraId="24AD817B" w14:textId="77777777" w:rsidTr="00BA7042">
        <w:trPr>
          <w:trHeight w:val="1313"/>
          <w:jc w:val="center"/>
        </w:trPr>
        <w:tc>
          <w:tcPr>
            <w:tcW w:w="4225" w:type="dxa"/>
            <w:shd w:val="clear" w:color="auto" w:fill="auto"/>
          </w:tcPr>
          <w:p w14:paraId="1CFAC73C"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p w14:paraId="5BB9FEE5"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College &amp; Career</w:t>
            </w:r>
          </w:p>
          <w:p w14:paraId="09747694"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p w14:paraId="53F5C802"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(A) College and career guidance and counseling programs, such as—</w:t>
            </w:r>
          </w:p>
        </w:tc>
        <w:tc>
          <w:tcPr>
            <w:tcW w:w="6576" w:type="dxa"/>
            <w:shd w:val="clear" w:color="auto" w:fill="auto"/>
          </w:tcPr>
          <w:p w14:paraId="1706D011"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postsecondary education and career awareness and exploration </w:t>
            </w:r>
            <w:proofErr w:type="gramStart"/>
            <w:r w:rsidRPr="00FF4CF2">
              <w:rPr>
                <w:rFonts w:asciiTheme="minorHAnsi" w:eastAsia="MS PGothic" w:hAnsiTheme="minorHAnsi" w:cstheme="minorHAnsi"/>
                <w:sz w:val="20"/>
                <w:szCs w:val="20"/>
                <w:lang w:bidi="en-US"/>
              </w:rPr>
              <w:t>activities;</w:t>
            </w:r>
            <w:proofErr w:type="gramEnd"/>
          </w:p>
          <w:p w14:paraId="7B68DFC2"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015D0F8A"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(ii) training counselors to effectively use labor market information in assisting students with postsecondary education and career </w:t>
            </w:r>
            <w:proofErr w:type="gramStart"/>
            <w:r w:rsidRPr="00FF4CF2">
              <w:rPr>
                <w:rFonts w:asciiTheme="minorHAnsi" w:eastAsia="MS PGothic" w:hAnsiTheme="minorHAnsi" w:cstheme="minorHAnsi"/>
                <w:sz w:val="20"/>
                <w:szCs w:val="20"/>
                <w:lang w:bidi="en-US"/>
              </w:rPr>
              <w:t>planning;</w:t>
            </w:r>
            <w:proofErr w:type="gramEnd"/>
          </w:p>
          <w:p w14:paraId="6A29D08F"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6132FD54"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(iii) financial literacy and Federal financial aid awareness activities;</w:t>
            </w:r>
          </w:p>
        </w:tc>
      </w:tr>
      <w:tr w:rsidR="00193F26" w:rsidRPr="00FF4CF2" w14:paraId="6B67269E" w14:textId="77777777" w:rsidTr="00BA7042">
        <w:trPr>
          <w:trHeight w:val="602"/>
          <w:jc w:val="center"/>
        </w:trPr>
        <w:tc>
          <w:tcPr>
            <w:tcW w:w="4225" w:type="dxa"/>
            <w:shd w:val="clear" w:color="auto" w:fill="auto"/>
            <w:vAlign w:val="center"/>
          </w:tcPr>
          <w:p w14:paraId="2F4D0B73"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Music &amp; Arts</w:t>
            </w:r>
          </w:p>
          <w:p w14:paraId="39BD045C"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tc>
        <w:tc>
          <w:tcPr>
            <w:tcW w:w="6576" w:type="dxa"/>
            <w:shd w:val="clear" w:color="auto" w:fill="auto"/>
          </w:tcPr>
          <w:p w14:paraId="235CFF23"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(B) Programs and activities that use music and the arts as tools to support student success through the promotion of constructive student engagement, problem-solving, and conflict resolution;</w:t>
            </w:r>
          </w:p>
        </w:tc>
      </w:tr>
      <w:tr w:rsidR="00193F26" w:rsidRPr="00FF4CF2" w14:paraId="3809E19C" w14:textId="77777777" w:rsidTr="00BA7042">
        <w:trPr>
          <w:trHeight w:val="4715"/>
          <w:jc w:val="center"/>
        </w:trPr>
        <w:tc>
          <w:tcPr>
            <w:tcW w:w="4225" w:type="dxa"/>
            <w:shd w:val="clear" w:color="auto" w:fill="auto"/>
            <w:vAlign w:val="center"/>
          </w:tcPr>
          <w:p w14:paraId="6F415C94"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STEM</w:t>
            </w:r>
          </w:p>
          <w:p w14:paraId="39898A3C"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p w14:paraId="6C88EBFF"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(C) Programming and activities to improve instruction and student engagement in science, technology, engineering, and mathematics, including computer science, (referred to in this section as “STEM subjects”) such as—</w:t>
            </w:r>
          </w:p>
        </w:tc>
        <w:tc>
          <w:tcPr>
            <w:tcW w:w="6576" w:type="dxa"/>
            <w:shd w:val="clear" w:color="auto" w:fill="auto"/>
            <w:vAlign w:val="center"/>
          </w:tcPr>
          <w:p w14:paraId="5BD28B6C"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Increasing access for students through grade 12 who are members of groups underrepresented in such subject fields, such as female students, minority students, English learners, children with disabilities, and economically disadvantaged students, to high quality </w:t>
            </w:r>
            <w:proofErr w:type="gramStart"/>
            <w:r w:rsidRPr="00FF4CF2">
              <w:rPr>
                <w:rFonts w:asciiTheme="minorHAnsi" w:eastAsia="MS PGothic" w:hAnsiTheme="minorHAnsi" w:cstheme="minorHAnsi"/>
                <w:sz w:val="20"/>
                <w:szCs w:val="20"/>
                <w:lang w:bidi="en-US"/>
              </w:rPr>
              <w:t>courses;</w:t>
            </w:r>
            <w:proofErr w:type="gramEnd"/>
          </w:p>
          <w:p w14:paraId="373B9CC1"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04F96EE2"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 supporting the participation of low-income students in nonprofit competitions related to STEM subjects (such as robotics, science research, invention, mathematics, computer science, and technology competitions</w:t>
            </w:r>
            <w:proofErr w:type="gramStart"/>
            <w:r w:rsidRPr="00FF4CF2">
              <w:rPr>
                <w:rFonts w:asciiTheme="minorHAnsi" w:eastAsia="MS PGothic" w:hAnsiTheme="minorHAnsi" w:cstheme="minorHAnsi"/>
                <w:sz w:val="20"/>
                <w:szCs w:val="20"/>
                <w:lang w:bidi="en-US"/>
              </w:rPr>
              <w:t>);</w:t>
            </w:r>
            <w:proofErr w:type="gramEnd"/>
          </w:p>
          <w:p w14:paraId="701F949D"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069533F0"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(iii) providing hands-on learning and exposure to science, technology, engineering, and mathematics and supporting the use of field-based or service learning to enhance the students’ understanding of the STEM </w:t>
            </w:r>
            <w:proofErr w:type="gramStart"/>
            <w:r w:rsidRPr="00FF4CF2">
              <w:rPr>
                <w:rFonts w:asciiTheme="minorHAnsi" w:eastAsia="MS PGothic" w:hAnsiTheme="minorHAnsi" w:cstheme="minorHAnsi"/>
                <w:sz w:val="20"/>
                <w:szCs w:val="20"/>
                <w:lang w:bidi="en-US"/>
              </w:rPr>
              <w:t>subjects;</w:t>
            </w:r>
            <w:proofErr w:type="gramEnd"/>
          </w:p>
          <w:p w14:paraId="24F63D0E"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159104C6"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(iv) supporting the creation and enhancement of STEM-focused specialty </w:t>
            </w:r>
            <w:proofErr w:type="gramStart"/>
            <w:r w:rsidRPr="00FF4CF2">
              <w:rPr>
                <w:rFonts w:asciiTheme="minorHAnsi" w:eastAsia="MS PGothic" w:hAnsiTheme="minorHAnsi" w:cstheme="minorHAnsi"/>
                <w:sz w:val="20"/>
                <w:szCs w:val="20"/>
                <w:lang w:bidi="en-US"/>
              </w:rPr>
              <w:t>schools;</w:t>
            </w:r>
            <w:proofErr w:type="gramEnd"/>
          </w:p>
          <w:p w14:paraId="7770ECBA"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4236A2BE"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(v) facilitating collaboration among school, afterschool program, and informal program personnel to improve the integration of programming and instruction in the identified subjects; and</w:t>
            </w:r>
          </w:p>
          <w:p w14:paraId="450E2093"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p>
          <w:p w14:paraId="4A04812B"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(vi) integrating other academic subjects, including the arts, into STEM subject programs to increase participation in STEM subjects, improve attainment of skills related to STEM subjects, and promote well-rounded education;</w:t>
            </w:r>
          </w:p>
        </w:tc>
      </w:tr>
      <w:tr w:rsidR="00193F26" w:rsidRPr="00FF4CF2" w14:paraId="085B0DB1" w14:textId="77777777" w:rsidTr="00BA7042">
        <w:trPr>
          <w:trHeight w:val="683"/>
          <w:jc w:val="center"/>
        </w:trPr>
        <w:tc>
          <w:tcPr>
            <w:tcW w:w="4225" w:type="dxa"/>
            <w:vMerge w:val="restart"/>
            <w:shd w:val="clear" w:color="auto" w:fill="auto"/>
            <w:vAlign w:val="center"/>
          </w:tcPr>
          <w:p w14:paraId="6E20ED05"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Accelerated Programs</w:t>
            </w:r>
          </w:p>
          <w:p w14:paraId="0031C05F"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p w14:paraId="0FADB131"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(D) Efforts to raise student academic achievement through accelerated programs described in section 4104(b)(3)(A)(i)(IV), such as—</w:t>
            </w:r>
          </w:p>
        </w:tc>
        <w:tc>
          <w:tcPr>
            <w:tcW w:w="6576" w:type="dxa"/>
            <w:shd w:val="clear" w:color="auto" w:fill="auto"/>
            <w:vAlign w:val="center"/>
          </w:tcPr>
          <w:p w14:paraId="15734C84"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 reimbursing low-income students to cover part or all of the costs of accelerated learning examination fees, if the low-income students are enrolled in accelerated learning courses and plan to take accelerated learning examinations; or</w:t>
            </w:r>
          </w:p>
        </w:tc>
      </w:tr>
      <w:tr w:rsidR="00193F26" w:rsidRPr="00FF4CF2" w14:paraId="2AF05C51" w14:textId="77777777" w:rsidTr="00BA7042">
        <w:trPr>
          <w:trHeight w:val="620"/>
          <w:jc w:val="center"/>
        </w:trPr>
        <w:tc>
          <w:tcPr>
            <w:tcW w:w="4225" w:type="dxa"/>
            <w:vMerge/>
            <w:shd w:val="clear" w:color="auto" w:fill="auto"/>
          </w:tcPr>
          <w:p w14:paraId="282906B6"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p>
        </w:tc>
        <w:tc>
          <w:tcPr>
            <w:tcW w:w="6576" w:type="dxa"/>
            <w:shd w:val="clear" w:color="auto" w:fill="auto"/>
            <w:vAlign w:val="center"/>
          </w:tcPr>
          <w:p w14:paraId="48F32B90"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(ii) increasing the availability of, and enrollment in, accelerated learning </w:t>
            </w:r>
            <w:proofErr w:type="gramStart"/>
            <w:r w:rsidRPr="00FF4CF2">
              <w:rPr>
                <w:rFonts w:asciiTheme="minorHAnsi" w:eastAsia="MS PGothic" w:hAnsiTheme="minorHAnsi" w:cstheme="minorHAnsi"/>
                <w:sz w:val="20"/>
                <w:szCs w:val="20"/>
                <w:lang w:bidi="en-US"/>
              </w:rPr>
              <w:t>course</w:t>
            </w:r>
            <w:proofErr w:type="gramEnd"/>
            <w:r w:rsidRPr="00FF4CF2">
              <w:rPr>
                <w:rFonts w:asciiTheme="minorHAnsi" w:eastAsia="MS PGothic" w:hAnsiTheme="minorHAnsi" w:cstheme="minorHAnsi"/>
                <w:sz w:val="20"/>
                <w:szCs w:val="20"/>
                <w:lang w:bidi="en-US"/>
              </w:rPr>
              <w:t>, accelerated learning examinations, dual or concurrent enrollment programs, and early college high school courses;</w:t>
            </w:r>
          </w:p>
        </w:tc>
      </w:tr>
      <w:tr w:rsidR="00193F26" w:rsidRPr="00FF4CF2" w14:paraId="3616359E" w14:textId="77777777" w:rsidTr="00BA7042">
        <w:trPr>
          <w:trHeight w:val="575"/>
          <w:jc w:val="center"/>
        </w:trPr>
        <w:tc>
          <w:tcPr>
            <w:tcW w:w="4225" w:type="dxa"/>
            <w:shd w:val="clear" w:color="auto" w:fill="auto"/>
            <w:vAlign w:val="center"/>
          </w:tcPr>
          <w:p w14:paraId="6212606C"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lastRenderedPageBreak/>
              <w:t>Social Studies</w:t>
            </w:r>
          </w:p>
        </w:tc>
        <w:tc>
          <w:tcPr>
            <w:tcW w:w="6576" w:type="dxa"/>
            <w:shd w:val="clear" w:color="auto" w:fill="auto"/>
            <w:vAlign w:val="center"/>
          </w:tcPr>
          <w:p w14:paraId="7609F6A2"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(E) Activities to promote the development, implementation, and strengthening of programs to teach traditional American history, civics, economics, geography, or government education;</w:t>
            </w:r>
          </w:p>
        </w:tc>
      </w:tr>
      <w:tr w:rsidR="00193F26" w:rsidRPr="00FF4CF2" w14:paraId="58B2DDD7" w14:textId="77777777" w:rsidTr="00BA7042">
        <w:trPr>
          <w:trHeight w:val="170"/>
          <w:jc w:val="center"/>
        </w:trPr>
        <w:tc>
          <w:tcPr>
            <w:tcW w:w="4225" w:type="dxa"/>
            <w:shd w:val="clear" w:color="auto" w:fill="auto"/>
            <w:vAlign w:val="center"/>
          </w:tcPr>
          <w:p w14:paraId="0D13CBC3"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Foreign Language</w:t>
            </w:r>
          </w:p>
        </w:tc>
        <w:tc>
          <w:tcPr>
            <w:tcW w:w="6576" w:type="dxa"/>
            <w:shd w:val="clear" w:color="auto" w:fill="auto"/>
          </w:tcPr>
          <w:p w14:paraId="4B7CB7C1" w14:textId="77777777" w:rsidR="00193F26" w:rsidRPr="00FF4CF2" w:rsidRDefault="00193F26" w:rsidP="0038671F">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(F) Foreign language instruction;</w:t>
            </w:r>
          </w:p>
        </w:tc>
      </w:tr>
      <w:tr w:rsidR="00193F26" w:rsidRPr="00FF4CF2" w14:paraId="4264DCCE" w14:textId="77777777" w:rsidTr="00FF4CF2">
        <w:trPr>
          <w:trHeight w:val="260"/>
          <w:jc w:val="center"/>
        </w:trPr>
        <w:tc>
          <w:tcPr>
            <w:tcW w:w="4225" w:type="dxa"/>
            <w:shd w:val="clear" w:color="auto" w:fill="auto"/>
            <w:vAlign w:val="center"/>
          </w:tcPr>
          <w:p w14:paraId="60F56A14"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Environmental Education</w:t>
            </w:r>
          </w:p>
        </w:tc>
        <w:tc>
          <w:tcPr>
            <w:tcW w:w="6576" w:type="dxa"/>
            <w:shd w:val="clear" w:color="auto" w:fill="auto"/>
            <w:vAlign w:val="center"/>
          </w:tcPr>
          <w:p w14:paraId="41F36D76"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(G) Environmental education;</w:t>
            </w:r>
          </w:p>
        </w:tc>
      </w:tr>
      <w:tr w:rsidR="00193F26" w:rsidRPr="00FF4CF2" w14:paraId="7F40C4F2" w14:textId="77777777" w:rsidTr="00FF4CF2">
        <w:trPr>
          <w:trHeight w:val="242"/>
          <w:jc w:val="center"/>
        </w:trPr>
        <w:tc>
          <w:tcPr>
            <w:tcW w:w="4225" w:type="dxa"/>
            <w:shd w:val="clear" w:color="auto" w:fill="auto"/>
            <w:vAlign w:val="center"/>
          </w:tcPr>
          <w:p w14:paraId="3277AA25"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Volunteerism</w:t>
            </w:r>
          </w:p>
        </w:tc>
        <w:tc>
          <w:tcPr>
            <w:tcW w:w="6576" w:type="dxa"/>
            <w:shd w:val="clear" w:color="auto" w:fill="auto"/>
            <w:vAlign w:val="center"/>
          </w:tcPr>
          <w:p w14:paraId="33C72914"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(H) Programs and activities that promote volunteerism and community involvement;</w:t>
            </w:r>
          </w:p>
        </w:tc>
      </w:tr>
      <w:tr w:rsidR="00193F26" w:rsidRPr="00FF4CF2" w14:paraId="66D970A6" w14:textId="77777777" w:rsidTr="00BA7042">
        <w:trPr>
          <w:trHeight w:val="70"/>
          <w:jc w:val="center"/>
        </w:trPr>
        <w:tc>
          <w:tcPr>
            <w:tcW w:w="4225" w:type="dxa"/>
            <w:shd w:val="clear" w:color="auto" w:fill="auto"/>
            <w:vAlign w:val="center"/>
          </w:tcPr>
          <w:p w14:paraId="72D06934"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Multi-disciplinary Programs</w:t>
            </w:r>
          </w:p>
        </w:tc>
        <w:tc>
          <w:tcPr>
            <w:tcW w:w="6576" w:type="dxa"/>
            <w:shd w:val="clear" w:color="auto" w:fill="auto"/>
            <w:vAlign w:val="center"/>
          </w:tcPr>
          <w:p w14:paraId="4060E24E"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 Programs and activities that support educational programs that integrate multiple disciplines, such as programs that combine arts and mathematics; or</w:t>
            </w:r>
          </w:p>
        </w:tc>
      </w:tr>
      <w:tr w:rsidR="00193F26" w:rsidRPr="00FF4CF2" w14:paraId="5E3E4561" w14:textId="77777777" w:rsidTr="00BA7042">
        <w:trPr>
          <w:trHeight w:val="146"/>
          <w:jc w:val="center"/>
        </w:trPr>
        <w:tc>
          <w:tcPr>
            <w:tcW w:w="4225" w:type="dxa"/>
            <w:shd w:val="clear" w:color="auto" w:fill="auto"/>
            <w:vAlign w:val="center"/>
          </w:tcPr>
          <w:p w14:paraId="3EC37E99" w14:textId="77777777" w:rsidR="00193F26" w:rsidRPr="00FF4CF2" w:rsidRDefault="00193F26" w:rsidP="00A171E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Other (requires approved description)</w:t>
            </w:r>
          </w:p>
        </w:tc>
        <w:tc>
          <w:tcPr>
            <w:tcW w:w="6576" w:type="dxa"/>
            <w:shd w:val="clear" w:color="auto" w:fill="auto"/>
            <w:vAlign w:val="center"/>
          </w:tcPr>
          <w:p w14:paraId="6CDC9BCE" w14:textId="77777777" w:rsidR="00193F26" w:rsidRPr="00FF4CF2" w:rsidRDefault="00193F26" w:rsidP="00A171E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(J) Other activities and programs to support student access to, and success in, a variety of well-rounded education experiences.</w:t>
            </w:r>
          </w:p>
        </w:tc>
      </w:tr>
      <w:tr w:rsidR="00193F26" w:rsidRPr="00FF4CF2" w14:paraId="03B93D73" w14:textId="77777777" w:rsidTr="00BA7042">
        <w:trPr>
          <w:trHeight w:val="146"/>
          <w:jc w:val="center"/>
        </w:trPr>
        <w:tc>
          <w:tcPr>
            <w:tcW w:w="4225" w:type="dxa"/>
            <w:shd w:val="clear" w:color="auto" w:fill="auto"/>
            <w:vAlign w:val="center"/>
          </w:tcPr>
          <w:p w14:paraId="15F892A7" w14:textId="77777777" w:rsidR="00193F26" w:rsidRPr="00FF4CF2" w:rsidRDefault="00193F26" w:rsidP="00197BB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Social-Emotional Learning</w:t>
            </w:r>
          </w:p>
        </w:tc>
        <w:tc>
          <w:tcPr>
            <w:tcW w:w="6576" w:type="dxa"/>
            <w:shd w:val="clear" w:color="auto" w:fill="auto"/>
            <w:vAlign w:val="center"/>
          </w:tcPr>
          <w:p w14:paraId="7C1EC02B" w14:textId="29F71B23" w:rsidR="00193F26" w:rsidRPr="00FF4CF2" w:rsidRDefault="00193F26" w:rsidP="00197BB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Programs and activities that support children and adults understand and manage emotions, maintain positive relationships, and make responsible decisions. </w:t>
            </w:r>
          </w:p>
        </w:tc>
      </w:tr>
      <w:tr w:rsidR="00193F26" w:rsidRPr="00FF4CF2" w14:paraId="6B265858" w14:textId="77777777" w:rsidTr="00BA7042">
        <w:trPr>
          <w:trHeight w:val="430"/>
          <w:jc w:val="center"/>
        </w:trPr>
        <w:tc>
          <w:tcPr>
            <w:tcW w:w="4225" w:type="dxa"/>
            <w:shd w:val="clear" w:color="auto" w:fill="auto"/>
            <w:vAlign w:val="center"/>
          </w:tcPr>
          <w:p w14:paraId="7477273C" w14:textId="77777777" w:rsidR="00193F26" w:rsidRPr="00FF4CF2" w:rsidRDefault="00193F26" w:rsidP="00197BBC">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Career and Technical Education</w:t>
            </w:r>
          </w:p>
        </w:tc>
        <w:tc>
          <w:tcPr>
            <w:tcW w:w="6576" w:type="dxa"/>
            <w:shd w:val="clear" w:color="auto" w:fill="auto"/>
            <w:vAlign w:val="center"/>
          </w:tcPr>
          <w:p w14:paraId="1A292D6C" w14:textId="212FA706" w:rsidR="00193F26" w:rsidRPr="00FF4CF2" w:rsidRDefault="00193F26" w:rsidP="00197BBC">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Programs and activities that provide access to hands-on experiences and career-based skills.</w:t>
            </w:r>
          </w:p>
        </w:tc>
      </w:tr>
    </w:tbl>
    <w:p w14:paraId="39180AE0" w14:textId="77777777" w:rsidR="008F4D43" w:rsidRPr="00A450B8" w:rsidRDefault="008F4D43" w:rsidP="00886279">
      <w:pPr>
        <w:jc w:val="center"/>
        <w:rPr>
          <w:b/>
        </w:rPr>
      </w:pPr>
    </w:p>
    <w:p w14:paraId="6A660438" w14:textId="322E7C04" w:rsidR="00886279" w:rsidRPr="00FF4CF2" w:rsidRDefault="00886279" w:rsidP="0033217A">
      <w:pPr>
        <w:spacing w:after="0" w:line="240" w:lineRule="auto"/>
        <w:ind w:left="2880" w:firstLine="720"/>
        <w:jc w:val="center"/>
        <w:rPr>
          <w:b/>
        </w:rPr>
      </w:pPr>
      <w:r w:rsidRPr="00FF4CF2">
        <w:rPr>
          <w:b/>
        </w:rPr>
        <w:t>Safe and Healthy Students</w:t>
      </w:r>
    </w:p>
    <w:p w14:paraId="66BCD82B" w14:textId="77777777" w:rsidR="00886279" w:rsidRPr="00FF4CF2" w:rsidRDefault="00886279" w:rsidP="0033217A">
      <w:pPr>
        <w:spacing w:after="0" w:line="240" w:lineRule="auto"/>
        <w:ind w:left="2880" w:firstLine="720"/>
        <w:jc w:val="center"/>
        <w:rPr>
          <w:b/>
        </w:rPr>
      </w:pPr>
      <w:r w:rsidRPr="00FF4CF2">
        <w:rPr>
          <w:b/>
        </w:rPr>
        <w:t>§ 4108(</w:t>
      </w:r>
      <w:proofErr w:type="gramStart"/>
      <w:r w:rsidRPr="00FF4CF2">
        <w:rPr>
          <w:b/>
        </w:rPr>
        <w:t>5)(</w:t>
      </w:r>
      <w:proofErr w:type="gramEnd"/>
      <w:r w:rsidRPr="00FF4CF2">
        <w:rPr>
          <w:b/>
        </w:rPr>
        <w:t>A-I)</w:t>
      </w:r>
    </w:p>
    <w:tbl>
      <w:tblPr>
        <w:tblW w:w="10807" w:type="dxa"/>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ook w:val="04A0" w:firstRow="1" w:lastRow="0" w:firstColumn="1" w:lastColumn="0" w:noHBand="0" w:noVBand="1"/>
      </w:tblPr>
      <w:tblGrid>
        <w:gridCol w:w="4225"/>
        <w:gridCol w:w="6582"/>
      </w:tblGrid>
      <w:tr w:rsidR="00193F26" w:rsidRPr="00FF4CF2" w14:paraId="17B781CD" w14:textId="77777777" w:rsidTr="00BA7042">
        <w:trPr>
          <w:trHeight w:val="286"/>
          <w:tblHeader/>
          <w:jc w:val="center"/>
        </w:trPr>
        <w:tc>
          <w:tcPr>
            <w:tcW w:w="4225" w:type="dxa"/>
            <w:shd w:val="clear" w:color="auto" w:fill="FFF2CC" w:themeFill="accent4" w:themeFillTint="33"/>
            <w:vAlign w:val="center"/>
          </w:tcPr>
          <w:p w14:paraId="51E5CE59" w14:textId="77777777" w:rsidR="00193F26" w:rsidRPr="00FF4CF2" w:rsidRDefault="00193F26" w:rsidP="00D151EF">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Activity Category</w:t>
            </w:r>
          </w:p>
        </w:tc>
        <w:tc>
          <w:tcPr>
            <w:tcW w:w="6582" w:type="dxa"/>
            <w:shd w:val="clear" w:color="auto" w:fill="FFF2CC" w:themeFill="accent4" w:themeFillTint="33"/>
            <w:vAlign w:val="center"/>
          </w:tcPr>
          <w:p w14:paraId="7829FD07" w14:textId="77777777" w:rsidR="00193F26" w:rsidRPr="00FF4CF2" w:rsidRDefault="00193F26" w:rsidP="00D151EF">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Category Description</w:t>
            </w:r>
          </w:p>
        </w:tc>
      </w:tr>
      <w:tr w:rsidR="00FF4CF2" w:rsidRPr="00FF4CF2" w14:paraId="7D935BE1" w14:textId="77777777" w:rsidTr="00BA7042">
        <w:trPr>
          <w:trHeight w:val="1223"/>
          <w:jc w:val="center"/>
        </w:trPr>
        <w:tc>
          <w:tcPr>
            <w:tcW w:w="4225" w:type="dxa"/>
            <w:shd w:val="clear" w:color="auto" w:fill="auto"/>
            <w:vAlign w:val="center"/>
          </w:tcPr>
          <w:p w14:paraId="35FBF924"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Prevention</w:t>
            </w:r>
          </w:p>
          <w:p w14:paraId="1E919FB0"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p w14:paraId="67BA1697" w14:textId="53A7F2F6"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(A) Drug and violence prevention activities and programs that are evidence-based (to the extent the State, in consultation with local educational agencies in the State, determines that such evidence is reasonably available), including—</w:t>
            </w:r>
          </w:p>
        </w:tc>
        <w:tc>
          <w:tcPr>
            <w:tcW w:w="6582" w:type="dxa"/>
            <w:shd w:val="clear" w:color="auto" w:fill="auto"/>
            <w:vAlign w:val="center"/>
          </w:tcPr>
          <w:p w14:paraId="6D20A0E7" w14:textId="77777777" w:rsidR="00FF4CF2" w:rsidRPr="00FF4CF2" w:rsidRDefault="00FF4CF2" w:rsidP="00FF4CF2">
            <w:pPr>
              <w:spacing w:after="120" w:line="240" w:lineRule="auto"/>
              <w:ind w:right="0"/>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(i) programs to educate students against the use of alcohol, tobacco, marijuana, smokeless tobacco products, and electronic cigarettes; and</w:t>
            </w:r>
          </w:p>
          <w:p w14:paraId="69019A8F" w14:textId="17C9C072"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 professional development and training for school and specialized instructional support personnel and interested community members in prevention, education, early identification, intervention mentoring, recovery support services and, where appropriate, rehabilitation referral, as related to drug and violence prevention;</w:t>
            </w:r>
          </w:p>
        </w:tc>
      </w:tr>
      <w:tr w:rsidR="00FF4CF2" w:rsidRPr="00FF4CF2" w14:paraId="3AA6647B" w14:textId="77777777" w:rsidTr="00BA7042">
        <w:trPr>
          <w:trHeight w:val="1223"/>
          <w:jc w:val="center"/>
        </w:trPr>
        <w:tc>
          <w:tcPr>
            <w:tcW w:w="4225" w:type="dxa"/>
            <w:shd w:val="clear" w:color="auto" w:fill="auto"/>
            <w:vAlign w:val="center"/>
          </w:tcPr>
          <w:p w14:paraId="31E89913"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Mental Health</w:t>
            </w:r>
          </w:p>
          <w:p w14:paraId="43454891"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p w14:paraId="482EEA6F" w14:textId="53FDB446"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(B) In accordance with sections 4001 and 4111—</w:t>
            </w:r>
          </w:p>
        </w:tc>
        <w:tc>
          <w:tcPr>
            <w:tcW w:w="6582" w:type="dxa"/>
            <w:shd w:val="clear" w:color="auto" w:fill="auto"/>
            <w:vAlign w:val="center"/>
          </w:tcPr>
          <w:p w14:paraId="46F9B3DA"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 school-based mental health services, including early identification of mental health symptoms, drug use, and violence, and appropriate referrals to direct individual or group counseling services, which may be provided by school-based mental health services providers; and</w:t>
            </w:r>
          </w:p>
          <w:p w14:paraId="7475848A" w14:textId="77777777" w:rsidR="00FF4CF2" w:rsidRPr="00FF4CF2" w:rsidRDefault="00FF4CF2" w:rsidP="00FF4CF2">
            <w:pPr>
              <w:spacing w:after="0" w:line="240" w:lineRule="auto"/>
              <w:ind w:right="0"/>
              <w:rPr>
                <w:rFonts w:asciiTheme="minorHAnsi" w:eastAsia="MS PGothic" w:hAnsiTheme="minorHAnsi" w:cstheme="minorHAnsi"/>
                <w:b/>
                <w:sz w:val="20"/>
                <w:szCs w:val="20"/>
                <w:lang w:bidi="en-US"/>
              </w:rPr>
            </w:pPr>
          </w:p>
          <w:p w14:paraId="5B6A93DF"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 school-based mental health services partnership programs that—</w:t>
            </w:r>
          </w:p>
          <w:p w14:paraId="22B7C807" w14:textId="77777777" w:rsidR="00FF4CF2" w:rsidRPr="00FF4CF2" w:rsidRDefault="00FF4CF2" w:rsidP="00FF4CF2">
            <w:pPr>
              <w:spacing w:after="0" w:line="240" w:lineRule="auto"/>
              <w:ind w:left="342"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 are conducted in partnership with a public or private mental health entity or health care entity; and</w:t>
            </w:r>
          </w:p>
          <w:p w14:paraId="7F816B3D" w14:textId="77777777" w:rsidR="00FF4CF2" w:rsidRPr="00FF4CF2" w:rsidRDefault="00FF4CF2" w:rsidP="00FF4CF2">
            <w:pPr>
              <w:spacing w:after="0" w:line="240" w:lineRule="auto"/>
              <w:ind w:left="342"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(II) provide comprehensive school-based mental health services and </w:t>
            </w:r>
            <w:proofErr w:type="gramStart"/>
            <w:r w:rsidRPr="00FF4CF2">
              <w:rPr>
                <w:rFonts w:asciiTheme="minorHAnsi" w:eastAsia="MS PGothic" w:hAnsiTheme="minorHAnsi" w:cstheme="minorHAnsi"/>
                <w:sz w:val="20"/>
                <w:szCs w:val="20"/>
                <w:lang w:bidi="en-US"/>
              </w:rPr>
              <w:t>supports</w:t>
            </w:r>
            <w:proofErr w:type="gramEnd"/>
            <w:r w:rsidRPr="00FF4CF2">
              <w:rPr>
                <w:rFonts w:asciiTheme="minorHAnsi" w:eastAsia="MS PGothic" w:hAnsiTheme="minorHAnsi" w:cstheme="minorHAnsi"/>
                <w:sz w:val="20"/>
                <w:szCs w:val="20"/>
                <w:lang w:bidi="en-US"/>
              </w:rPr>
              <w:t xml:space="preserve"> and staff development for school and community personnel working in the school that are —</w:t>
            </w:r>
          </w:p>
          <w:p w14:paraId="22FBF3EE" w14:textId="77777777" w:rsidR="00FF4CF2" w:rsidRPr="00FF4CF2" w:rsidRDefault="00FF4CF2" w:rsidP="00FF4CF2">
            <w:pPr>
              <w:spacing w:after="0" w:line="240" w:lineRule="auto"/>
              <w:ind w:left="522"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(aa) based on trauma-informed practices that are evidence-based (to the extent the State, in consultation with local educational agencies in the State, determines that such evidence is reasonably available</w:t>
            </w:r>
            <w:proofErr w:type="gramStart"/>
            <w:r w:rsidRPr="00FF4CF2">
              <w:rPr>
                <w:rFonts w:asciiTheme="minorHAnsi" w:eastAsia="MS PGothic" w:hAnsiTheme="minorHAnsi" w:cstheme="minorHAnsi"/>
                <w:sz w:val="20"/>
                <w:szCs w:val="20"/>
                <w:lang w:bidi="en-US"/>
              </w:rPr>
              <w:t>);</w:t>
            </w:r>
            <w:proofErr w:type="gramEnd"/>
          </w:p>
          <w:p w14:paraId="36C9B32D" w14:textId="77777777" w:rsidR="00FF4CF2" w:rsidRPr="00FF4CF2" w:rsidRDefault="00FF4CF2" w:rsidP="00FF4CF2">
            <w:pPr>
              <w:spacing w:after="0" w:line="240" w:lineRule="auto"/>
              <w:ind w:left="522"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(bb) coordinated (where appropriate) with early intervening services provided under the Individuals with Disabilities Education Act (20 U.S.C 1400 et seq.); and</w:t>
            </w:r>
          </w:p>
          <w:p w14:paraId="4AE47D44" w14:textId="72EB8449" w:rsidR="00FF4CF2" w:rsidRPr="00FF4CF2" w:rsidRDefault="00FF4CF2" w:rsidP="00FF4CF2">
            <w:pPr>
              <w:spacing w:after="0" w:line="240" w:lineRule="auto"/>
              <w:ind w:left="522"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(cc) provided by qualified mental and behavioral health professionals who are certified or licensed by the State involved and practicing within their area of expertise.</w:t>
            </w:r>
          </w:p>
        </w:tc>
      </w:tr>
      <w:tr w:rsidR="00FF4CF2" w:rsidRPr="00FF4CF2" w14:paraId="44819ACE" w14:textId="77777777" w:rsidTr="00FF4CF2">
        <w:trPr>
          <w:trHeight w:val="512"/>
          <w:jc w:val="center"/>
        </w:trPr>
        <w:tc>
          <w:tcPr>
            <w:tcW w:w="4225" w:type="dxa"/>
            <w:vMerge w:val="restart"/>
            <w:shd w:val="clear" w:color="auto" w:fill="auto"/>
            <w:vAlign w:val="center"/>
          </w:tcPr>
          <w:p w14:paraId="398A77AD" w14:textId="29887863"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Health &amp; Safety</w:t>
            </w:r>
          </w:p>
          <w:p w14:paraId="101E0D61"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p w14:paraId="6BF3FA6F"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(C) Programs or activities that—</w:t>
            </w:r>
          </w:p>
        </w:tc>
        <w:tc>
          <w:tcPr>
            <w:tcW w:w="6582" w:type="dxa"/>
            <w:shd w:val="clear" w:color="auto" w:fill="auto"/>
            <w:vAlign w:val="center"/>
          </w:tcPr>
          <w:p w14:paraId="09DB5702"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integrate health and safety practices into school or athletic </w:t>
            </w:r>
            <w:proofErr w:type="gramStart"/>
            <w:r w:rsidRPr="00FF4CF2">
              <w:rPr>
                <w:rFonts w:asciiTheme="minorHAnsi" w:eastAsia="MS PGothic" w:hAnsiTheme="minorHAnsi" w:cstheme="minorHAnsi"/>
                <w:sz w:val="20"/>
                <w:szCs w:val="20"/>
                <w:lang w:bidi="en-US"/>
              </w:rPr>
              <w:t>programs;</w:t>
            </w:r>
            <w:proofErr w:type="gramEnd"/>
          </w:p>
          <w:p w14:paraId="4ADB7141" w14:textId="77777777" w:rsidR="00FF4CF2" w:rsidRPr="00FF4CF2" w:rsidRDefault="00FF4CF2" w:rsidP="00FF4CF2">
            <w:pPr>
              <w:spacing w:after="0" w:line="240" w:lineRule="auto"/>
              <w:ind w:right="0"/>
              <w:rPr>
                <w:rFonts w:asciiTheme="minorHAnsi" w:eastAsia="MS PGothic" w:hAnsiTheme="minorHAnsi" w:cstheme="minorHAnsi"/>
                <w:b/>
                <w:sz w:val="20"/>
                <w:szCs w:val="20"/>
                <w:lang w:bidi="en-US"/>
              </w:rPr>
            </w:pPr>
          </w:p>
          <w:p w14:paraId="3EA5A3BF" w14:textId="77777777" w:rsidR="00FF4CF2" w:rsidRPr="00FF4CF2" w:rsidRDefault="00FF4CF2" w:rsidP="00FF4CF2">
            <w:pPr>
              <w:spacing w:after="0" w:line="240" w:lineRule="auto"/>
              <w:ind w:right="0"/>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 xml:space="preserve">(ii) support a healthy, active lifestyle, including nutritional education and regular, structured physical education activities and programs, that may address chronic disease management with instruction led by school nurses, </w:t>
            </w:r>
            <w:r w:rsidRPr="00FF4CF2">
              <w:rPr>
                <w:rFonts w:asciiTheme="minorHAnsi" w:eastAsia="MS PGothic" w:hAnsiTheme="minorHAnsi" w:cstheme="minorHAnsi"/>
                <w:sz w:val="20"/>
                <w:szCs w:val="20"/>
                <w:lang w:bidi="en-US"/>
              </w:rPr>
              <w:lastRenderedPageBreak/>
              <w:t>nurse practitioners, or other appropriate specialists or professionals to help maintain the well-being of students;</w:t>
            </w:r>
          </w:p>
        </w:tc>
      </w:tr>
      <w:tr w:rsidR="00FF4CF2" w:rsidRPr="00FF4CF2" w14:paraId="71FDD7FC" w14:textId="77777777" w:rsidTr="00BA7042">
        <w:trPr>
          <w:trHeight w:val="80"/>
          <w:jc w:val="center"/>
        </w:trPr>
        <w:tc>
          <w:tcPr>
            <w:tcW w:w="4225" w:type="dxa"/>
            <w:vMerge/>
            <w:shd w:val="clear" w:color="auto" w:fill="auto"/>
            <w:vAlign w:val="center"/>
          </w:tcPr>
          <w:p w14:paraId="3B1CB816"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57CF095E"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(iii) help prevent bullying and harassment;</w:t>
            </w:r>
          </w:p>
        </w:tc>
      </w:tr>
      <w:tr w:rsidR="00FF4CF2" w:rsidRPr="00FF4CF2" w14:paraId="0FE15B44" w14:textId="77777777" w:rsidTr="00BA7042">
        <w:trPr>
          <w:trHeight w:val="80"/>
          <w:jc w:val="center"/>
        </w:trPr>
        <w:tc>
          <w:tcPr>
            <w:tcW w:w="4225" w:type="dxa"/>
            <w:vMerge/>
            <w:shd w:val="clear" w:color="auto" w:fill="auto"/>
            <w:vAlign w:val="center"/>
          </w:tcPr>
          <w:p w14:paraId="3253CB92"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53B55E9A"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 xml:space="preserve">(iv) improve instructional practices for developing relationship-building skills, such as effective communication, and improve safety through the recognition and prevention of coercion, violence, or abuse, including teen and dating violence, stalking, domestic abuse, and sexual violence and harassment; </w:t>
            </w:r>
          </w:p>
        </w:tc>
      </w:tr>
      <w:tr w:rsidR="00FF4CF2" w:rsidRPr="00FF4CF2" w14:paraId="748AC77F" w14:textId="77777777" w:rsidTr="00BA7042">
        <w:trPr>
          <w:trHeight w:val="80"/>
          <w:jc w:val="center"/>
        </w:trPr>
        <w:tc>
          <w:tcPr>
            <w:tcW w:w="4225" w:type="dxa"/>
            <w:vMerge/>
            <w:shd w:val="clear" w:color="auto" w:fill="auto"/>
            <w:vAlign w:val="center"/>
          </w:tcPr>
          <w:p w14:paraId="5376FBF2"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16AC4E41"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 provide mentoring and school counseling to all students, including children who are at risk of academic failure, dropping out of school, involvement in criminal or delinquent activities, or drug use and abuse;</w:t>
            </w:r>
          </w:p>
        </w:tc>
      </w:tr>
      <w:tr w:rsidR="00FF4CF2" w:rsidRPr="00FF4CF2" w14:paraId="58D8403D" w14:textId="77777777" w:rsidTr="00BA7042">
        <w:trPr>
          <w:trHeight w:val="80"/>
          <w:jc w:val="center"/>
        </w:trPr>
        <w:tc>
          <w:tcPr>
            <w:tcW w:w="4225" w:type="dxa"/>
            <w:vMerge/>
            <w:shd w:val="clear" w:color="auto" w:fill="auto"/>
            <w:vAlign w:val="center"/>
          </w:tcPr>
          <w:p w14:paraId="0B145298"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25B143A6"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(vi) establish or improve school dropout and re-entry programs; or</w:t>
            </w:r>
          </w:p>
        </w:tc>
      </w:tr>
      <w:tr w:rsidR="00FF4CF2" w:rsidRPr="00FF4CF2" w14:paraId="362CF01D" w14:textId="77777777" w:rsidTr="00BA7042">
        <w:trPr>
          <w:trHeight w:val="80"/>
          <w:jc w:val="center"/>
        </w:trPr>
        <w:tc>
          <w:tcPr>
            <w:tcW w:w="4225" w:type="dxa"/>
            <w:vMerge/>
            <w:shd w:val="clear" w:color="auto" w:fill="auto"/>
            <w:vAlign w:val="center"/>
          </w:tcPr>
          <w:p w14:paraId="7B253ADA"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5E4FA891"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(vii) establish learning environments and enhance students’ effective learning skills that are essential for school readiness and academic success, such as by providing integrated systems of student and family supports;</w:t>
            </w:r>
          </w:p>
        </w:tc>
      </w:tr>
      <w:tr w:rsidR="00FF4CF2" w:rsidRPr="00FF4CF2" w14:paraId="3369C7F6" w14:textId="77777777" w:rsidTr="00BA7042">
        <w:trPr>
          <w:trHeight w:val="512"/>
          <w:jc w:val="center"/>
        </w:trPr>
        <w:tc>
          <w:tcPr>
            <w:tcW w:w="4225" w:type="dxa"/>
            <w:vMerge w:val="restart"/>
            <w:shd w:val="clear" w:color="auto" w:fill="auto"/>
            <w:vAlign w:val="center"/>
          </w:tcPr>
          <w:p w14:paraId="75046897"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Training</w:t>
            </w:r>
          </w:p>
          <w:p w14:paraId="452D63D0"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p w14:paraId="795AFF3F"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(D) High-quality training for school personnel, including specialized instructional support personnel, related to—</w:t>
            </w:r>
          </w:p>
        </w:tc>
        <w:tc>
          <w:tcPr>
            <w:tcW w:w="6582" w:type="dxa"/>
            <w:shd w:val="clear" w:color="auto" w:fill="auto"/>
            <w:vAlign w:val="center"/>
          </w:tcPr>
          <w:p w14:paraId="6795303F"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 xml:space="preserve">(i) suicide </w:t>
            </w:r>
            <w:proofErr w:type="gramStart"/>
            <w:r w:rsidRPr="00FF4CF2">
              <w:rPr>
                <w:rFonts w:asciiTheme="minorHAnsi" w:eastAsia="MS PGothic" w:hAnsiTheme="minorHAnsi" w:cstheme="minorHAnsi"/>
                <w:bCs/>
                <w:sz w:val="20"/>
                <w:szCs w:val="20"/>
                <w:lang w:bidi="en-US"/>
              </w:rPr>
              <w:t>prevention;</w:t>
            </w:r>
            <w:proofErr w:type="gramEnd"/>
          </w:p>
          <w:p w14:paraId="32FF082D" w14:textId="6168D519" w:rsidR="00FF4CF2" w:rsidRPr="00FF4CF2" w:rsidRDefault="00FF4CF2" w:rsidP="00FF4CF2">
            <w:pPr>
              <w:keepNext/>
              <w:keepLines/>
              <w:spacing w:before="200"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(ii) effective and trauma-informed practices in classroom management;</w:t>
            </w:r>
          </w:p>
        </w:tc>
      </w:tr>
      <w:tr w:rsidR="00FF4CF2" w:rsidRPr="00FF4CF2" w14:paraId="3CB3B8C4" w14:textId="77777777" w:rsidTr="00BA7042">
        <w:trPr>
          <w:trHeight w:val="305"/>
          <w:jc w:val="center"/>
        </w:trPr>
        <w:tc>
          <w:tcPr>
            <w:tcW w:w="4225" w:type="dxa"/>
            <w:vMerge/>
            <w:shd w:val="clear" w:color="auto" w:fill="auto"/>
          </w:tcPr>
          <w:p w14:paraId="673822D5"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6F9D2B81" w14:textId="473C48C9"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(iii) crisis management and conflict resolution techniques;</w:t>
            </w:r>
          </w:p>
        </w:tc>
      </w:tr>
      <w:tr w:rsidR="00FF4CF2" w:rsidRPr="00FF4CF2" w14:paraId="0076BD18" w14:textId="77777777" w:rsidTr="00BA7042">
        <w:trPr>
          <w:trHeight w:val="172"/>
          <w:jc w:val="center"/>
        </w:trPr>
        <w:tc>
          <w:tcPr>
            <w:tcW w:w="4225" w:type="dxa"/>
            <w:vMerge/>
            <w:shd w:val="clear" w:color="auto" w:fill="auto"/>
          </w:tcPr>
          <w:p w14:paraId="09D84683"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4915CCBB"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(iv) human trafficking (defined, for the purposes of this subparagraph, as an act or practice described in paragraph (9) or (10) of section 103 or the Trafficking Victims Protection Act of 2000 (22 U.S.C. 7102));</w:t>
            </w:r>
          </w:p>
        </w:tc>
      </w:tr>
      <w:tr w:rsidR="00FF4CF2" w:rsidRPr="00FF4CF2" w14:paraId="501EDF4E" w14:textId="77777777" w:rsidTr="00BA7042">
        <w:trPr>
          <w:trHeight w:val="172"/>
          <w:jc w:val="center"/>
        </w:trPr>
        <w:tc>
          <w:tcPr>
            <w:tcW w:w="4225" w:type="dxa"/>
            <w:vMerge/>
            <w:shd w:val="clear" w:color="auto" w:fill="auto"/>
          </w:tcPr>
          <w:p w14:paraId="6640ED2D"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63D7BEAC"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 school-based violence prevention strategies;</w:t>
            </w:r>
          </w:p>
        </w:tc>
      </w:tr>
      <w:tr w:rsidR="00FF4CF2" w:rsidRPr="00FF4CF2" w14:paraId="1D91A075" w14:textId="77777777" w:rsidTr="00FF4CF2">
        <w:trPr>
          <w:trHeight w:val="593"/>
          <w:jc w:val="center"/>
        </w:trPr>
        <w:tc>
          <w:tcPr>
            <w:tcW w:w="4225" w:type="dxa"/>
            <w:vMerge/>
            <w:shd w:val="clear" w:color="auto" w:fill="auto"/>
          </w:tcPr>
          <w:p w14:paraId="4B69A454"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2ED2010F"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(vi) drug abuse prevention, including educating children facing substance abuse at home; and</w:t>
            </w:r>
          </w:p>
        </w:tc>
      </w:tr>
      <w:tr w:rsidR="00FF4CF2" w:rsidRPr="00FF4CF2" w14:paraId="49049E55" w14:textId="77777777" w:rsidTr="00BA7042">
        <w:trPr>
          <w:trHeight w:val="172"/>
          <w:jc w:val="center"/>
        </w:trPr>
        <w:tc>
          <w:tcPr>
            <w:tcW w:w="4225" w:type="dxa"/>
            <w:vMerge/>
            <w:shd w:val="clear" w:color="auto" w:fill="auto"/>
          </w:tcPr>
          <w:p w14:paraId="76C575C1"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tc>
        <w:tc>
          <w:tcPr>
            <w:tcW w:w="6582" w:type="dxa"/>
            <w:shd w:val="clear" w:color="auto" w:fill="auto"/>
            <w:vAlign w:val="center"/>
          </w:tcPr>
          <w:p w14:paraId="1043515F" w14:textId="77777777" w:rsidR="00FF4CF2" w:rsidRPr="00FF4CF2" w:rsidRDefault="00FF4CF2" w:rsidP="00FF4CF2">
            <w:pPr>
              <w:keepNext/>
              <w:keepLines/>
              <w:spacing w:after="0" w:line="240" w:lineRule="auto"/>
              <w:ind w:right="0"/>
              <w:outlineLvl w:val="2"/>
              <w:rPr>
                <w:rFonts w:asciiTheme="minorHAnsi" w:eastAsia="MS PGothic" w:hAnsiTheme="minorHAnsi" w:cstheme="minorHAnsi"/>
                <w:bCs/>
                <w:sz w:val="20"/>
                <w:szCs w:val="20"/>
                <w:lang w:bidi="en-US"/>
              </w:rPr>
            </w:pPr>
            <w:r w:rsidRPr="00FF4CF2">
              <w:rPr>
                <w:rFonts w:asciiTheme="minorHAnsi" w:eastAsia="MS PGothic" w:hAnsiTheme="minorHAnsi" w:cstheme="minorHAnsi"/>
                <w:bCs/>
                <w:sz w:val="20"/>
                <w:szCs w:val="20"/>
                <w:lang w:bidi="en-US"/>
              </w:rPr>
              <w:t>(vii) bullying and harassment prevention;</w:t>
            </w:r>
          </w:p>
        </w:tc>
      </w:tr>
      <w:tr w:rsidR="00FF4CF2" w:rsidRPr="00FF4CF2" w14:paraId="40E6EC55" w14:textId="77777777" w:rsidTr="00FF4CF2">
        <w:trPr>
          <w:trHeight w:val="692"/>
          <w:jc w:val="center"/>
        </w:trPr>
        <w:tc>
          <w:tcPr>
            <w:tcW w:w="4225" w:type="dxa"/>
            <w:shd w:val="clear" w:color="auto" w:fill="auto"/>
            <w:vAlign w:val="center"/>
          </w:tcPr>
          <w:p w14:paraId="513B040F"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Child Sexual Abuse</w:t>
            </w:r>
          </w:p>
          <w:p w14:paraId="6017A3D7"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p>
          <w:p w14:paraId="05F55AA2"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(E) in accordance with sections 4001 and 4111, child sexual abuse awareness and prevention programs or activities designed to provide—</w:t>
            </w:r>
          </w:p>
        </w:tc>
        <w:tc>
          <w:tcPr>
            <w:tcW w:w="6582" w:type="dxa"/>
            <w:shd w:val="clear" w:color="auto" w:fill="auto"/>
            <w:vAlign w:val="center"/>
          </w:tcPr>
          <w:p w14:paraId="30A29F11"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age-appropriate and </w:t>
            </w:r>
            <w:proofErr w:type="gramStart"/>
            <w:r w:rsidRPr="00FF4CF2">
              <w:rPr>
                <w:rFonts w:asciiTheme="minorHAnsi" w:eastAsia="MS PGothic" w:hAnsiTheme="minorHAnsi" w:cstheme="minorHAnsi"/>
                <w:sz w:val="20"/>
                <w:szCs w:val="20"/>
                <w:lang w:bidi="en-US"/>
              </w:rPr>
              <w:t>developmentally-appropriate</w:t>
            </w:r>
            <w:proofErr w:type="gramEnd"/>
            <w:r w:rsidRPr="00FF4CF2">
              <w:rPr>
                <w:rFonts w:asciiTheme="minorHAnsi" w:eastAsia="MS PGothic" w:hAnsiTheme="minorHAnsi" w:cstheme="minorHAnsi"/>
                <w:sz w:val="20"/>
                <w:szCs w:val="20"/>
                <w:lang w:bidi="en-US"/>
              </w:rPr>
              <w:t xml:space="preserve"> instruction for students in child sexual abuse awareness and prevention including how to recognize sexual abuse and how to safely report child sexual abuse; and</w:t>
            </w:r>
          </w:p>
          <w:p w14:paraId="69BD1B13"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p>
          <w:p w14:paraId="16C4A82F" w14:textId="77777777" w:rsidR="00FF4CF2" w:rsidRPr="00FF4CF2" w:rsidRDefault="00FF4CF2" w:rsidP="00FF4CF2">
            <w:pPr>
              <w:spacing w:after="0" w:line="240" w:lineRule="auto"/>
              <w:ind w:right="0"/>
              <w:rPr>
                <w:rFonts w:asciiTheme="minorHAnsi" w:eastAsia="MS PGothic" w:hAnsiTheme="minorHAnsi" w:cstheme="minorHAnsi"/>
                <w:b/>
                <w:sz w:val="20"/>
                <w:szCs w:val="20"/>
                <w:lang w:bidi="en-US"/>
              </w:rPr>
            </w:pPr>
            <w:r w:rsidRPr="00FF4CF2">
              <w:rPr>
                <w:rFonts w:asciiTheme="minorHAnsi" w:eastAsia="MS PGothic" w:hAnsiTheme="minorHAnsi" w:cstheme="minorHAnsi"/>
                <w:sz w:val="20"/>
                <w:szCs w:val="20"/>
                <w:lang w:bidi="en-US"/>
              </w:rPr>
              <w:t>(ii) information to parents and guardians of students about child sexual abuse awareness and prevention, including how to recognize child sexual abuse and how to discuss child sexual abuse with a child;</w:t>
            </w:r>
          </w:p>
        </w:tc>
      </w:tr>
      <w:tr w:rsidR="00FF4CF2" w:rsidRPr="00FF4CF2" w14:paraId="0CEA6080" w14:textId="77777777" w:rsidTr="00BA7042">
        <w:trPr>
          <w:trHeight w:val="1340"/>
          <w:jc w:val="center"/>
        </w:trPr>
        <w:tc>
          <w:tcPr>
            <w:tcW w:w="4225" w:type="dxa"/>
            <w:tcBorders>
              <w:top w:val="single" w:sz="4" w:space="0" w:color="5C6670"/>
              <w:left w:val="single" w:sz="4" w:space="0" w:color="5C6670"/>
              <w:bottom w:val="single" w:sz="4" w:space="0" w:color="5C6670"/>
              <w:right w:val="single" w:sz="4" w:space="0" w:color="5C6670"/>
            </w:tcBorders>
            <w:shd w:val="clear" w:color="auto" w:fill="auto"/>
            <w:vAlign w:val="center"/>
          </w:tcPr>
          <w:p w14:paraId="52047C8E"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Discipline</w:t>
            </w:r>
          </w:p>
          <w:p w14:paraId="112B238A" w14:textId="77777777" w:rsidR="00FF4CF2" w:rsidRPr="00FF4CF2" w:rsidRDefault="00FF4CF2" w:rsidP="00FF4CF2">
            <w:pPr>
              <w:spacing w:after="0" w:line="240" w:lineRule="auto"/>
              <w:ind w:right="0"/>
              <w:jc w:val="center"/>
              <w:rPr>
                <w:rFonts w:asciiTheme="minorHAnsi" w:eastAsia="MS PGothic" w:hAnsiTheme="minorHAnsi" w:cstheme="minorHAnsi"/>
                <w:bCs/>
                <w:sz w:val="20"/>
                <w:szCs w:val="20"/>
                <w:lang w:bidi="en-US"/>
              </w:rPr>
            </w:pPr>
          </w:p>
          <w:p w14:paraId="3EFF1157"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Cs/>
                <w:sz w:val="20"/>
                <w:szCs w:val="20"/>
                <w:lang w:bidi="en-US"/>
              </w:rPr>
              <w:t>(F) designing and implementing a locally-tailored plan to reduce exclusionary discipline practices in elementary and secondary schools that—</w:t>
            </w:r>
          </w:p>
        </w:tc>
        <w:tc>
          <w:tcPr>
            <w:tcW w:w="6582" w:type="dxa"/>
            <w:tcBorders>
              <w:top w:val="single" w:sz="4" w:space="0" w:color="5C6670"/>
              <w:left w:val="single" w:sz="4" w:space="0" w:color="5C6670"/>
              <w:bottom w:val="single" w:sz="4" w:space="0" w:color="5C6670"/>
              <w:right w:val="single" w:sz="4" w:space="0" w:color="5C6670"/>
            </w:tcBorders>
            <w:shd w:val="clear" w:color="auto" w:fill="auto"/>
            <w:vAlign w:val="center"/>
          </w:tcPr>
          <w:p w14:paraId="5A4916E3"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is consistent with best </w:t>
            </w:r>
            <w:proofErr w:type="gramStart"/>
            <w:r w:rsidRPr="00FF4CF2">
              <w:rPr>
                <w:rFonts w:asciiTheme="minorHAnsi" w:eastAsia="MS PGothic" w:hAnsiTheme="minorHAnsi" w:cstheme="minorHAnsi"/>
                <w:sz w:val="20"/>
                <w:szCs w:val="20"/>
                <w:lang w:bidi="en-US"/>
              </w:rPr>
              <w:t>practices;</w:t>
            </w:r>
            <w:proofErr w:type="gramEnd"/>
          </w:p>
          <w:p w14:paraId="40FFEBF7"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p>
          <w:p w14:paraId="350C32FB"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 includes strategies that are evidence-based (to the extent the State, in consultation with local educational agencies in the State, determines that such evidence is reasonably available); and</w:t>
            </w:r>
          </w:p>
          <w:p w14:paraId="300C8F44"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p>
          <w:p w14:paraId="6CE0F380"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(iii) is aligned with the long-term goal of prison reduction through opportunities, mentoring, intervention, support, and other education services, referred to as a “youth PROMISE plan”; or</w:t>
            </w:r>
          </w:p>
        </w:tc>
      </w:tr>
      <w:tr w:rsidR="00FF4CF2" w:rsidRPr="00FF4CF2" w14:paraId="10B57EBC" w14:textId="77777777" w:rsidTr="00BA7042">
        <w:trPr>
          <w:trHeight w:val="665"/>
          <w:jc w:val="center"/>
        </w:trPr>
        <w:tc>
          <w:tcPr>
            <w:tcW w:w="4225" w:type="dxa"/>
            <w:tcBorders>
              <w:top w:val="single" w:sz="4" w:space="0" w:color="5C6670"/>
              <w:left w:val="single" w:sz="4" w:space="0" w:color="5C6670"/>
              <w:bottom w:val="single" w:sz="4" w:space="0" w:color="5C6670"/>
              <w:right w:val="single" w:sz="4" w:space="0" w:color="5C6670"/>
            </w:tcBorders>
            <w:shd w:val="clear" w:color="auto" w:fill="auto"/>
            <w:vAlign w:val="center"/>
          </w:tcPr>
          <w:p w14:paraId="1684D0AA"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PBIS</w:t>
            </w:r>
          </w:p>
        </w:tc>
        <w:tc>
          <w:tcPr>
            <w:tcW w:w="6582" w:type="dxa"/>
            <w:tcBorders>
              <w:top w:val="single" w:sz="4" w:space="0" w:color="5C6670"/>
              <w:left w:val="single" w:sz="4" w:space="0" w:color="5C6670"/>
              <w:bottom w:val="single" w:sz="4" w:space="0" w:color="5C6670"/>
              <w:right w:val="single" w:sz="4" w:space="0" w:color="5C6670"/>
            </w:tcBorders>
            <w:shd w:val="clear" w:color="auto" w:fill="auto"/>
            <w:vAlign w:val="center"/>
          </w:tcPr>
          <w:p w14:paraId="0045CC26"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(G) Implementation of schoolwide positive behavioral interventions and supports, including through coordination with similar activities carried out under the Individual with Disabilities Education Act (20 U.S.C. 1400 et seq.), in order to improve academic outcomes and school conditions for student learning;</w:t>
            </w:r>
          </w:p>
        </w:tc>
      </w:tr>
      <w:tr w:rsidR="00FF4CF2" w:rsidRPr="00FF4CF2" w14:paraId="696CB173" w14:textId="77777777" w:rsidTr="00FF4CF2">
        <w:trPr>
          <w:trHeight w:val="70"/>
          <w:jc w:val="center"/>
        </w:trPr>
        <w:tc>
          <w:tcPr>
            <w:tcW w:w="4225" w:type="dxa"/>
            <w:tcBorders>
              <w:top w:val="single" w:sz="4" w:space="0" w:color="5C6670"/>
              <w:left w:val="single" w:sz="4" w:space="0" w:color="5C6670"/>
              <w:bottom w:val="single" w:sz="4" w:space="0" w:color="5C6670"/>
              <w:right w:val="single" w:sz="4" w:space="0" w:color="5C6670"/>
            </w:tcBorders>
            <w:shd w:val="clear" w:color="auto" w:fill="auto"/>
            <w:vAlign w:val="center"/>
          </w:tcPr>
          <w:p w14:paraId="1DCBBD3B"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Resource Coordinator</w:t>
            </w:r>
          </w:p>
          <w:p w14:paraId="2C27347E" w14:textId="77777777" w:rsidR="00FF4CF2" w:rsidRPr="00FF4CF2" w:rsidRDefault="00FF4CF2" w:rsidP="00FF4CF2">
            <w:pPr>
              <w:spacing w:after="0" w:line="240" w:lineRule="auto"/>
              <w:ind w:right="0"/>
              <w:jc w:val="center"/>
              <w:rPr>
                <w:rFonts w:asciiTheme="minorHAnsi" w:eastAsia="MS PGothic" w:hAnsiTheme="minorHAnsi" w:cstheme="minorHAnsi"/>
                <w:bCs/>
                <w:sz w:val="20"/>
                <w:szCs w:val="20"/>
                <w:lang w:bidi="en-US"/>
              </w:rPr>
            </w:pPr>
          </w:p>
          <w:p w14:paraId="77158A54"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Cs/>
                <w:sz w:val="20"/>
                <w:szCs w:val="20"/>
                <w:lang w:bidi="en-US"/>
              </w:rPr>
              <w:t>(H) designating a site resource coordinator at a school or local educational agency to provide a variety of services such as—</w:t>
            </w:r>
          </w:p>
        </w:tc>
        <w:tc>
          <w:tcPr>
            <w:tcW w:w="6582" w:type="dxa"/>
            <w:tcBorders>
              <w:top w:val="single" w:sz="4" w:space="0" w:color="5C6670"/>
              <w:left w:val="single" w:sz="4" w:space="0" w:color="5C6670"/>
              <w:bottom w:val="single" w:sz="4" w:space="0" w:color="5C6670"/>
              <w:right w:val="single" w:sz="4" w:space="0" w:color="5C6670"/>
            </w:tcBorders>
            <w:shd w:val="clear" w:color="auto" w:fill="auto"/>
            <w:vAlign w:val="center"/>
          </w:tcPr>
          <w:p w14:paraId="1068C070"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establishing partnerships within the community to provide resources and support for </w:t>
            </w:r>
            <w:proofErr w:type="gramStart"/>
            <w:r w:rsidRPr="00FF4CF2">
              <w:rPr>
                <w:rFonts w:asciiTheme="minorHAnsi" w:eastAsia="MS PGothic" w:hAnsiTheme="minorHAnsi" w:cstheme="minorHAnsi"/>
                <w:sz w:val="20"/>
                <w:szCs w:val="20"/>
                <w:lang w:bidi="en-US"/>
              </w:rPr>
              <w:t>schools;</w:t>
            </w:r>
            <w:proofErr w:type="gramEnd"/>
          </w:p>
          <w:p w14:paraId="1DAB4F59"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p>
          <w:p w14:paraId="500FC7D2"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(ii) ensuring that all service and community partners are aligned with the academic expectations of a community school in order to improve student success; and</w:t>
            </w:r>
          </w:p>
          <w:p w14:paraId="0871AFDD"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p>
          <w:p w14:paraId="0C746C55"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lastRenderedPageBreak/>
              <w:t>(iii) strengthening relationships between schools and communities; or</w:t>
            </w:r>
          </w:p>
        </w:tc>
      </w:tr>
      <w:tr w:rsidR="00FF4CF2" w:rsidRPr="00FF4CF2" w14:paraId="7F39FF29" w14:textId="77777777" w:rsidTr="00BA7042">
        <w:trPr>
          <w:trHeight w:val="242"/>
          <w:jc w:val="center"/>
        </w:trPr>
        <w:tc>
          <w:tcPr>
            <w:tcW w:w="4225" w:type="dxa"/>
            <w:tcBorders>
              <w:top w:val="single" w:sz="4" w:space="0" w:color="5C6670"/>
              <w:left w:val="single" w:sz="4" w:space="0" w:color="5C6670"/>
              <w:bottom w:val="single" w:sz="4" w:space="0" w:color="5C6670"/>
              <w:right w:val="single" w:sz="4" w:space="0" w:color="5C6670"/>
            </w:tcBorders>
            <w:shd w:val="clear" w:color="auto" w:fill="auto"/>
            <w:vAlign w:val="center"/>
          </w:tcPr>
          <w:p w14:paraId="09E067F1"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lastRenderedPageBreak/>
              <w:t>Pay for Success</w:t>
            </w:r>
          </w:p>
        </w:tc>
        <w:tc>
          <w:tcPr>
            <w:tcW w:w="6582" w:type="dxa"/>
            <w:tcBorders>
              <w:top w:val="single" w:sz="4" w:space="0" w:color="5C6670"/>
              <w:left w:val="single" w:sz="4" w:space="0" w:color="5C6670"/>
              <w:bottom w:val="single" w:sz="4" w:space="0" w:color="5C6670"/>
              <w:right w:val="single" w:sz="4" w:space="0" w:color="5C6670"/>
            </w:tcBorders>
            <w:shd w:val="clear" w:color="auto" w:fill="auto"/>
            <w:vAlign w:val="center"/>
          </w:tcPr>
          <w:p w14:paraId="01002FE4"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 xml:space="preserve">(I) pay for </w:t>
            </w:r>
            <w:proofErr w:type="gramStart"/>
            <w:r w:rsidRPr="00FF4CF2">
              <w:rPr>
                <w:rFonts w:asciiTheme="minorHAnsi" w:eastAsia="MS PGothic" w:hAnsiTheme="minorHAnsi" w:cstheme="minorHAnsi"/>
                <w:sz w:val="20"/>
                <w:szCs w:val="20"/>
                <w:lang w:bidi="en-US"/>
              </w:rPr>
              <w:t>success</w:t>
            </w:r>
            <w:proofErr w:type="gramEnd"/>
            <w:r w:rsidRPr="00FF4CF2">
              <w:rPr>
                <w:rFonts w:asciiTheme="minorHAnsi" w:eastAsia="MS PGothic" w:hAnsiTheme="minorHAnsi" w:cstheme="minorHAnsi"/>
                <w:sz w:val="20"/>
                <w:szCs w:val="20"/>
                <w:lang w:bidi="en-US"/>
              </w:rPr>
              <w:t xml:space="preserve"> initiatives aligned with the purposes of this section.</w:t>
            </w:r>
          </w:p>
        </w:tc>
      </w:tr>
      <w:tr w:rsidR="00FF4CF2" w:rsidRPr="00FF4CF2" w14:paraId="060163AB" w14:textId="77777777" w:rsidTr="00BA7042">
        <w:trPr>
          <w:trHeight w:val="70"/>
          <w:jc w:val="center"/>
        </w:trPr>
        <w:tc>
          <w:tcPr>
            <w:tcW w:w="4225" w:type="dxa"/>
            <w:tcBorders>
              <w:top w:val="single" w:sz="4" w:space="0" w:color="5C6670"/>
              <w:left w:val="single" w:sz="4" w:space="0" w:color="5C6670"/>
              <w:bottom w:val="single" w:sz="4" w:space="0" w:color="5C6670"/>
              <w:right w:val="single" w:sz="4" w:space="0" w:color="5C6670"/>
            </w:tcBorders>
            <w:shd w:val="clear" w:color="auto" w:fill="auto"/>
            <w:vAlign w:val="center"/>
          </w:tcPr>
          <w:p w14:paraId="6EFED715" w14:textId="77777777" w:rsidR="00FF4CF2" w:rsidRPr="00FF4CF2" w:rsidRDefault="00FF4CF2" w:rsidP="00FF4CF2">
            <w:pPr>
              <w:spacing w:after="0" w:line="240" w:lineRule="auto"/>
              <w:ind w:right="0"/>
              <w:jc w:val="center"/>
              <w:rPr>
                <w:rFonts w:asciiTheme="minorHAnsi" w:eastAsia="MS PGothic" w:hAnsiTheme="minorHAnsi" w:cstheme="minorHAnsi"/>
                <w:b/>
                <w:sz w:val="20"/>
                <w:szCs w:val="20"/>
                <w:lang w:bidi="en-US"/>
              </w:rPr>
            </w:pPr>
            <w:r w:rsidRPr="00FF4CF2">
              <w:rPr>
                <w:rFonts w:asciiTheme="minorHAnsi" w:eastAsia="MS PGothic" w:hAnsiTheme="minorHAnsi" w:cstheme="minorHAnsi"/>
                <w:b/>
                <w:sz w:val="20"/>
                <w:szCs w:val="20"/>
                <w:lang w:bidi="en-US"/>
              </w:rPr>
              <w:t>Other (requires approved description)</w:t>
            </w:r>
          </w:p>
        </w:tc>
        <w:tc>
          <w:tcPr>
            <w:tcW w:w="6582" w:type="dxa"/>
            <w:tcBorders>
              <w:top w:val="single" w:sz="4" w:space="0" w:color="5C6670"/>
              <w:left w:val="single" w:sz="4" w:space="0" w:color="5C6670"/>
              <w:bottom w:val="single" w:sz="4" w:space="0" w:color="5C6670"/>
              <w:right w:val="single" w:sz="4" w:space="0" w:color="5C6670"/>
            </w:tcBorders>
            <w:shd w:val="clear" w:color="auto" w:fill="auto"/>
            <w:vAlign w:val="center"/>
          </w:tcPr>
          <w:p w14:paraId="418E2A81" w14:textId="77777777" w:rsidR="00FF4CF2" w:rsidRPr="00FF4CF2" w:rsidRDefault="00FF4CF2" w:rsidP="00FF4CF2">
            <w:pPr>
              <w:spacing w:after="0" w:line="240" w:lineRule="auto"/>
              <w:ind w:right="0"/>
              <w:rPr>
                <w:rFonts w:asciiTheme="minorHAnsi" w:eastAsia="MS PGothic" w:hAnsiTheme="minorHAnsi" w:cstheme="minorHAnsi"/>
                <w:sz w:val="20"/>
                <w:szCs w:val="20"/>
                <w:lang w:bidi="en-US"/>
              </w:rPr>
            </w:pPr>
            <w:r w:rsidRPr="00FF4CF2">
              <w:rPr>
                <w:rFonts w:asciiTheme="minorHAnsi" w:eastAsia="MS PGothic" w:hAnsiTheme="minorHAnsi" w:cstheme="minorHAnsi"/>
                <w:sz w:val="20"/>
                <w:szCs w:val="20"/>
                <w:lang w:bidi="en-US"/>
              </w:rPr>
              <w:t>(J) Other activities and programs to support safe and healthy students.</w:t>
            </w:r>
          </w:p>
        </w:tc>
      </w:tr>
    </w:tbl>
    <w:p w14:paraId="25446A86" w14:textId="77777777" w:rsidR="00FF4CF2" w:rsidRDefault="00FF4CF2" w:rsidP="00886279">
      <w:pPr>
        <w:spacing w:after="0" w:line="240" w:lineRule="auto"/>
        <w:ind w:right="0"/>
        <w:jc w:val="center"/>
        <w:rPr>
          <w:rFonts w:eastAsia="MS PGothic" w:cs="Arial"/>
          <w:b/>
          <w:lang w:val="es-MX"/>
        </w:rPr>
      </w:pPr>
    </w:p>
    <w:p w14:paraId="7DB33E9D" w14:textId="77777777" w:rsidR="00FF4CF2" w:rsidRDefault="00FF4CF2" w:rsidP="00886279">
      <w:pPr>
        <w:spacing w:after="0" w:line="240" w:lineRule="auto"/>
        <w:ind w:right="0"/>
        <w:jc w:val="center"/>
        <w:rPr>
          <w:rFonts w:eastAsia="MS PGothic" w:cs="Arial"/>
          <w:b/>
          <w:lang w:val="es-MX"/>
        </w:rPr>
      </w:pPr>
    </w:p>
    <w:p w14:paraId="10AA3170" w14:textId="3F907E27" w:rsidR="003D5D11" w:rsidRPr="00A450B8" w:rsidRDefault="003D5D11" w:rsidP="00886279">
      <w:pPr>
        <w:spacing w:after="0" w:line="240" w:lineRule="auto"/>
        <w:ind w:right="0"/>
        <w:jc w:val="center"/>
        <w:rPr>
          <w:rFonts w:eastAsia="MS PGothic" w:cs="Arial"/>
          <w:b/>
          <w:lang w:val="es-MX"/>
        </w:rPr>
      </w:pPr>
      <w:r w:rsidRPr="00A450B8">
        <w:rPr>
          <w:rFonts w:eastAsia="MS PGothic" w:cs="Arial"/>
          <w:b/>
          <w:lang w:val="es-MX"/>
        </w:rPr>
        <w:t>Activities to Support Effective Use of Technology</w:t>
      </w:r>
    </w:p>
    <w:p w14:paraId="53807581" w14:textId="438CEE99" w:rsidR="00886279" w:rsidRPr="00FF4CF2" w:rsidRDefault="00886279" w:rsidP="00886279">
      <w:pPr>
        <w:spacing w:after="0" w:line="240" w:lineRule="auto"/>
        <w:ind w:right="0"/>
        <w:jc w:val="center"/>
        <w:rPr>
          <w:rFonts w:eastAsia="MS PGothic" w:cs="Arial"/>
          <w:b/>
          <w:lang w:val="es-MX"/>
        </w:rPr>
      </w:pPr>
      <w:r w:rsidRPr="00FF4CF2">
        <w:rPr>
          <w:rFonts w:eastAsia="MS PGothic" w:cs="Arial"/>
          <w:b/>
          <w:lang w:val="es-MX"/>
        </w:rPr>
        <w:t>§ 4109(a</w:t>
      </w:r>
      <w:proofErr w:type="gramStart"/>
      <w:r w:rsidRPr="00FF4CF2">
        <w:rPr>
          <w:rFonts w:eastAsia="MS PGothic" w:cs="Arial"/>
          <w:b/>
          <w:lang w:val="es-MX"/>
        </w:rPr>
        <w:t>)(</w:t>
      </w:r>
      <w:proofErr w:type="gramEnd"/>
      <w:r w:rsidRPr="00FF4CF2">
        <w:rPr>
          <w:rFonts w:eastAsia="MS PGothic" w:cs="Arial"/>
          <w:b/>
          <w:lang w:val="es-MX"/>
        </w:rPr>
        <w:t>1-6)</w:t>
      </w:r>
    </w:p>
    <w:p w14:paraId="0228AC7C" w14:textId="77777777" w:rsidR="00886279" w:rsidRPr="00FF4CF2" w:rsidRDefault="00886279" w:rsidP="00886279">
      <w:pPr>
        <w:spacing w:after="0" w:line="240" w:lineRule="auto"/>
        <w:ind w:right="0"/>
        <w:jc w:val="center"/>
        <w:rPr>
          <w:rFonts w:eastAsia="MS PGothic"/>
          <w:sz w:val="20"/>
          <w:szCs w:val="20"/>
        </w:rPr>
      </w:pPr>
      <w:r w:rsidRPr="00FF4CF2">
        <w:rPr>
          <w:rFonts w:eastAsia="MS PGothic"/>
          <w:sz w:val="20"/>
          <w:szCs w:val="20"/>
        </w:rPr>
        <w:t>(a) USES OF FUNDS.—Subject to section 4106(f), each local educational agency, or consortium of such agencies, that receives an allocation under section 4015(a) shall use a portion of such funds to improve the use of technology to improve the academic achievement, academic growth, and digital literacy of all students, including by meeting the needs of such agency or consortium that are identified in the needs assessment conducted under section 4106(d) (if applicable), which may include—</w:t>
      </w:r>
    </w:p>
    <w:tbl>
      <w:tblPr>
        <w:tblW w:w="10800" w:type="dxa"/>
        <w:jc w:val="cente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Layout w:type="fixed"/>
        <w:tblLook w:val="04A0" w:firstRow="1" w:lastRow="0" w:firstColumn="1" w:lastColumn="0" w:noHBand="0" w:noVBand="1"/>
      </w:tblPr>
      <w:tblGrid>
        <w:gridCol w:w="4120"/>
        <w:gridCol w:w="6680"/>
      </w:tblGrid>
      <w:tr w:rsidR="00193F26" w:rsidRPr="00FF4CF2" w14:paraId="61F0F7FE" w14:textId="77777777" w:rsidTr="00577010">
        <w:trPr>
          <w:tblHeader/>
          <w:jc w:val="center"/>
        </w:trPr>
        <w:tc>
          <w:tcPr>
            <w:tcW w:w="3955" w:type="dxa"/>
            <w:shd w:val="clear" w:color="auto" w:fill="FFF2CC" w:themeFill="accent4" w:themeFillTint="33"/>
            <w:vAlign w:val="center"/>
          </w:tcPr>
          <w:p w14:paraId="6D6DC39F" w14:textId="77777777" w:rsidR="00193F26" w:rsidRPr="00FF4CF2" w:rsidRDefault="00193F26" w:rsidP="00A171EC">
            <w:pPr>
              <w:spacing w:after="0" w:line="240" w:lineRule="auto"/>
              <w:ind w:right="0"/>
              <w:jc w:val="center"/>
              <w:rPr>
                <w:rFonts w:eastAsia="MS PGothic"/>
                <w:b/>
                <w:sz w:val="20"/>
                <w:szCs w:val="20"/>
                <w:lang w:bidi="en-US"/>
              </w:rPr>
            </w:pPr>
            <w:r w:rsidRPr="00FF4CF2">
              <w:rPr>
                <w:rFonts w:eastAsia="MS PGothic"/>
                <w:b/>
                <w:sz w:val="20"/>
                <w:szCs w:val="20"/>
                <w:lang w:bidi="en-US"/>
              </w:rPr>
              <w:t>Activity Category</w:t>
            </w:r>
          </w:p>
        </w:tc>
        <w:tc>
          <w:tcPr>
            <w:tcW w:w="6413" w:type="dxa"/>
            <w:shd w:val="clear" w:color="auto" w:fill="FFF2CC" w:themeFill="accent4" w:themeFillTint="33"/>
            <w:vAlign w:val="center"/>
          </w:tcPr>
          <w:p w14:paraId="26F69BE8" w14:textId="77777777" w:rsidR="00193F26" w:rsidRPr="00FF4CF2" w:rsidRDefault="00193F26" w:rsidP="00A171EC">
            <w:pPr>
              <w:spacing w:after="0" w:line="240" w:lineRule="auto"/>
              <w:ind w:right="0"/>
              <w:jc w:val="center"/>
              <w:rPr>
                <w:rFonts w:eastAsia="MS PGothic"/>
                <w:b/>
                <w:sz w:val="20"/>
                <w:szCs w:val="20"/>
                <w:lang w:bidi="en-US"/>
              </w:rPr>
            </w:pPr>
            <w:r w:rsidRPr="00FF4CF2">
              <w:rPr>
                <w:rFonts w:eastAsia="MS PGothic"/>
                <w:b/>
                <w:sz w:val="20"/>
                <w:szCs w:val="20"/>
                <w:lang w:bidi="en-US"/>
              </w:rPr>
              <w:t>Category Description</w:t>
            </w:r>
          </w:p>
        </w:tc>
      </w:tr>
      <w:tr w:rsidR="00193F26" w:rsidRPr="00FF4CF2" w14:paraId="76F44F00" w14:textId="77777777" w:rsidTr="00577010">
        <w:trPr>
          <w:trHeight w:val="330"/>
          <w:jc w:val="center"/>
        </w:trPr>
        <w:tc>
          <w:tcPr>
            <w:tcW w:w="3955" w:type="dxa"/>
            <w:vMerge w:val="restart"/>
            <w:shd w:val="clear" w:color="auto" w:fill="auto"/>
            <w:vAlign w:val="center"/>
          </w:tcPr>
          <w:p w14:paraId="7466A8A2" w14:textId="77777777" w:rsidR="00193F26" w:rsidRPr="00FF4CF2" w:rsidRDefault="00193F26" w:rsidP="00AA7665">
            <w:pPr>
              <w:spacing w:after="0" w:line="240" w:lineRule="auto"/>
              <w:ind w:right="0"/>
              <w:jc w:val="center"/>
              <w:rPr>
                <w:rFonts w:eastAsia="MS PGothic"/>
                <w:b/>
                <w:sz w:val="20"/>
                <w:szCs w:val="20"/>
                <w:lang w:bidi="en-US"/>
              </w:rPr>
            </w:pPr>
            <w:r w:rsidRPr="00FF4CF2">
              <w:rPr>
                <w:rFonts w:eastAsia="MS PGothic"/>
                <w:b/>
                <w:sz w:val="20"/>
                <w:szCs w:val="20"/>
                <w:lang w:bidi="en-US"/>
              </w:rPr>
              <w:t>Tools &amp; Resources</w:t>
            </w:r>
          </w:p>
          <w:p w14:paraId="21603522" w14:textId="77777777" w:rsidR="00193F26" w:rsidRPr="00FF4CF2" w:rsidRDefault="00193F26" w:rsidP="00AA7665">
            <w:pPr>
              <w:spacing w:after="0" w:line="240" w:lineRule="auto"/>
              <w:ind w:right="0"/>
              <w:jc w:val="center"/>
              <w:rPr>
                <w:rFonts w:eastAsia="MS PGothic"/>
                <w:b/>
                <w:sz w:val="20"/>
                <w:szCs w:val="20"/>
                <w:lang w:bidi="en-US"/>
              </w:rPr>
            </w:pPr>
          </w:p>
          <w:p w14:paraId="02E30A95" w14:textId="77777777" w:rsidR="00193F26" w:rsidRPr="00FF4CF2" w:rsidRDefault="00193F26" w:rsidP="00AA7665">
            <w:pPr>
              <w:spacing w:after="0" w:line="240" w:lineRule="auto"/>
              <w:ind w:right="0"/>
              <w:jc w:val="center"/>
              <w:rPr>
                <w:rFonts w:eastAsia="MS PGothic"/>
                <w:sz w:val="20"/>
                <w:szCs w:val="20"/>
                <w:lang w:bidi="en-US"/>
              </w:rPr>
            </w:pPr>
            <w:r w:rsidRPr="00FF4CF2">
              <w:rPr>
                <w:rFonts w:eastAsia="MS PGothic"/>
                <w:sz w:val="20"/>
                <w:szCs w:val="20"/>
                <w:lang w:bidi="en-US"/>
              </w:rPr>
              <w:t xml:space="preserve">(1) providing educators, school leaders, and administrators with </w:t>
            </w:r>
            <w:proofErr w:type="gramStart"/>
            <w:r w:rsidRPr="00FF4CF2">
              <w:rPr>
                <w:rFonts w:eastAsia="MS PGothic"/>
                <w:sz w:val="20"/>
                <w:szCs w:val="20"/>
                <w:lang w:bidi="en-US"/>
              </w:rPr>
              <w:t>the professional</w:t>
            </w:r>
            <w:proofErr w:type="gramEnd"/>
            <w:r w:rsidRPr="00FF4CF2">
              <w:rPr>
                <w:rFonts w:eastAsia="MS PGothic"/>
                <w:sz w:val="20"/>
                <w:szCs w:val="20"/>
                <w:lang w:bidi="en-US"/>
              </w:rPr>
              <w:t xml:space="preserve"> learning tools, devices, content, and resources to—</w:t>
            </w:r>
          </w:p>
        </w:tc>
        <w:tc>
          <w:tcPr>
            <w:tcW w:w="6413" w:type="dxa"/>
            <w:shd w:val="clear" w:color="auto" w:fill="auto"/>
          </w:tcPr>
          <w:p w14:paraId="5B19B691" w14:textId="77777777" w:rsidR="00193F26" w:rsidRPr="00FF4CF2" w:rsidRDefault="00193F26" w:rsidP="00AA7665">
            <w:pPr>
              <w:spacing w:after="0" w:line="240" w:lineRule="auto"/>
              <w:ind w:right="0"/>
              <w:rPr>
                <w:rFonts w:eastAsia="MS PGothic"/>
                <w:sz w:val="20"/>
                <w:szCs w:val="20"/>
                <w:lang w:bidi="en-US"/>
              </w:rPr>
            </w:pPr>
            <w:r w:rsidRPr="00FF4CF2">
              <w:rPr>
                <w:rFonts w:eastAsia="MS PGothic"/>
                <w:sz w:val="20"/>
                <w:szCs w:val="20"/>
                <w:lang w:bidi="en-US"/>
              </w:rPr>
              <w:t>(A) personalize learning to improve student academic achievement;</w:t>
            </w:r>
          </w:p>
        </w:tc>
      </w:tr>
      <w:tr w:rsidR="00193F26" w:rsidRPr="00FF4CF2" w14:paraId="3022418D" w14:textId="77777777" w:rsidTr="00577010">
        <w:trPr>
          <w:trHeight w:val="330"/>
          <w:jc w:val="center"/>
        </w:trPr>
        <w:tc>
          <w:tcPr>
            <w:tcW w:w="3955" w:type="dxa"/>
            <w:vMerge/>
            <w:shd w:val="clear" w:color="auto" w:fill="auto"/>
          </w:tcPr>
          <w:p w14:paraId="1587AA83" w14:textId="77777777" w:rsidR="00193F26" w:rsidRPr="00FF4CF2" w:rsidRDefault="00193F26" w:rsidP="00AA7665">
            <w:pPr>
              <w:spacing w:after="0" w:line="240" w:lineRule="auto"/>
              <w:ind w:right="0"/>
              <w:rPr>
                <w:rFonts w:eastAsia="MS PGothic"/>
                <w:b/>
                <w:sz w:val="20"/>
                <w:szCs w:val="20"/>
                <w:lang w:bidi="en-US"/>
              </w:rPr>
            </w:pPr>
          </w:p>
        </w:tc>
        <w:tc>
          <w:tcPr>
            <w:tcW w:w="6413" w:type="dxa"/>
            <w:shd w:val="clear" w:color="auto" w:fill="auto"/>
            <w:vAlign w:val="center"/>
          </w:tcPr>
          <w:p w14:paraId="10A532A4" w14:textId="77777777"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(B) discover, adapt, and share relevant high-quality educational resources;</w:t>
            </w:r>
          </w:p>
        </w:tc>
      </w:tr>
      <w:tr w:rsidR="00193F26" w:rsidRPr="00FF4CF2" w14:paraId="4AC7F3B7" w14:textId="77777777" w:rsidTr="00577010">
        <w:trPr>
          <w:trHeight w:val="330"/>
          <w:jc w:val="center"/>
        </w:trPr>
        <w:tc>
          <w:tcPr>
            <w:tcW w:w="3955" w:type="dxa"/>
            <w:vMerge/>
            <w:shd w:val="clear" w:color="auto" w:fill="auto"/>
          </w:tcPr>
          <w:p w14:paraId="2D39925E" w14:textId="77777777" w:rsidR="00193F26" w:rsidRPr="00FF4CF2" w:rsidRDefault="00193F26" w:rsidP="00AA7665">
            <w:pPr>
              <w:spacing w:after="0" w:line="240" w:lineRule="auto"/>
              <w:ind w:right="0"/>
              <w:rPr>
                <w:rFonts w:eastAsia="MS PGothic"/>
                <w:b/>
                <w:sz w:val="20"/>
                <w:szCs w:val="20"/>
                <w:lang w:bidi="en-US"/>
              </w:rPr>
            </w:pPr>
          </w:p>
        </w:tc>
        <w:tc>
          <w:tcPr>
            <w:tcW w:w="6413" w:type="dxa"/>
            <w:shd w:val="clear" w:color="auto" w:fill="auto"/>
            <w:vAlign w:val="center"/>
          </w:tcPr>
          <w:p w14:paraId="14B0F951" w14:textId="77777777"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(C) use technology effectively in the classroom, including by administering computer-based assessments and blended learning strategies; and</w:t>
            </w:r>
          </w:p>
        </w:tc>
      </w:tr>
      <w:tr w:rsidR="00193F26" w:rsidRPr="00FF4CF2" w14:paraId="633CCA3F" w14:textId="77777777" w:rsidTr="00577010">
        <w:trPr>
          <w:trHeight w:val="330"/>
          <w:jc w:val="center"/>
        </w:trPr>
        <w:tc>
          <w:tcPr>
            <w:tcW w:w="3955" w:type="dxa"/>
            <w:vMerge/>
            <w:shd w:val="clear" w:color="auto" w:fill="auto"/>
          </w:tcPr>
          <w:p w14:paraId="73DD9EED" w14:textId="77777777" w:rsidR="00193F26" w:rsidRPr="00FF4CF2" w:rsidRDefault="00193F26" w:rsidP="00AA7665">
            <w:pPr>
              <w:spacing w:after="0" w:line="240" w:lineRule="auto"/>
              <w:ind w:right="0"/>
              <w:rPr>
                <w:rFonts w:eastAsia="MS PGothic"/>
                <w:b/>
                <w:sz w:val="20"/>
                <w:szCs w:val="20"/>
                <w:lang w:bidi="en-US"/>
              </w:rPr>
            </w:pPr>
          </w:p>
        </w:tc>
        <w:tc>
          <w:tcPr>
            <w:tcW w:w="6413" w:type="dxa"/>
            <w:shd w:val="clear" w:color="auto" w:fill="auto"/>
            <w:vAlign w:val="center"/>
          </w:tcPr>
          <w:p w14:paraId="1826D612" w14:textId="77777777"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(D) implement and support school- and district-wide approaches for using technology to inform instruction, support teacher collaboration, and personalize learning;</w:t>
            </w:r>
          </w:p>
        </w:tc>
      </w:tr>
      <w:tr w:rsidR="00193F26" w:rsidRPr="00FF4CF2" w14:paraId="505CBD07" w14:textId="77777777" w:rsidTr="00577010">
        <w:trPr>
          <w:trHeight w:val="602"/>
          <w:jc w:val="center"/>
        </w:trPr>
        <w:tc>
          <w:tcPr>
            <w:tcW w:w="3955" w:type="dxa"/>
            <w:shd w:val="clear" w:color="auto" w:fill="auto"/>
            <w:vAlign w:val="center"/>
          </w:tcPr>
          <w:p w14:paraId="1D1ACEC4" w14:textId="77777777" w:rsidR="00193F26" w:rsidRPr="00FF4CF2" w:rsidRDefault="00193F26" w:rsidP="003358D4">
            <w:pPr>
              <w:spacing w:after="0" w:line="240" w:lineRule="auto"/>
              <w:ind w:right="0"/>
              <w:jc w:val="center"/>
              <w:rPr>
                <w:rFonts w:eastAsia="MS PGothic"/>
                <w:b/>
                <w:sz w:val="20"/>
                <w:szCs w:val="20"/>
                <w:lang w:bidi="en-US"/>
              </w:rPr>
            </w:pPr>
            <w:r w:rsidRPr="00FF4CF2">
              <w:rPr>
                <w:rFonts w:eastAsia="MS PGothic"/>
                <w:b/>
                <w:sz w:val="20"/>
                <w:szCs w:val="20"/>
                <w:lang w:bidi="en-US"/>
              </w:rPr>
              <w:t>Infrastructure</w:t>
            </w:r>
          </w:p>
          <w:p w14:paraId="287AF3D8" w14:textId="77777777" w:rsidR="00193F26" w:rsidRPr="00FF4CF2" w:rsidRDefault="00193F26" w:rsidP="003358D4">
            <w:pPr>
              <w:spacing w:after="0" w:line="240" w:lineRule="auto"/>
              <w:ind w:right="0"/>
              <w:jc w:val="center"/>
              <w:rPr>
                <w:rFonts w:eastAsia="MS PGothic"/>
                <w:b/>
                <w:sz w:val="20"/>
                <w:szCs w:val="20"/>
                <w:lang w:bidi="en-US"/>
              </w:rPr>
            </w:pPr>
          </w:p>
          <w:p w14:paraId="109F1247" w14:textId="0FE9799E" w:rsidR="00193F26" w:rsidRPr="00FF4CF2" w:rsidRDefault="00193F26" w:rsidP="003358D4">
            <w:pPr>
              <w:spacing w:after="0" w:line="240" w:lineRule="auto"/>
              <w:ind w:right="0"/>
              <w:jc w:val="center"/>
              <w:rPr>
                <w:rFonts w:eastAsia="MS PGothic"/>
                <w:b/>
                <w:sz w:val="20"/>
                <w:szCs w:val="20"/>
                <w:lang w:bidi="en-US"/>
              </w:rPr>
            </w:pPr>
            <w:r w:rsidRPr="00FF4CF2">
              <w:rPr>
                <w:rFonts w:eastAsia="MS PGothic"/>
                <w:sz w:val="20"/>
                <w:szCs w:val="20"/>
                <w:lang w:bidi="en-US"/>
              </w:rPr>
              <w:t>(2) building technological capacity and infrastructure, which may include—</w:t>
            </w:r>
          </w:p>
        </w:tc>
        <w:tc>
          <w:tcPr>
            <w:tcW w:w="6413" w:type="dxa"/>
            <w:shd w:val="clear" w:color="auto" w:fill="auto"/>
            <w:vAlign w:val="center"/>
          </w:tcPr>
          <w:p w14:paraId="11CE1728" w14:textId="77777777" w:rsidR="00193F26" w:rsidRPr="00FF4CF2" w:rsidRDefault="00193F26" w:rsidP="003358D4">
            <w:pPr>
              <w:keepNext/>
              <w:keepLines/>
              <w:spacing w:after="100" w:afterAutospacing="1" w:line="240" w:lineRule="auto"/>
              <w:ind w:right="0"/>
              <w:outlineLvl w:val="2"/>
              <w:rPr>
                <w:rFonts w:eastAsia="MS PGothic"/>
                <w:bCs/>
                <w:sz w:val="20"/>
                <w:szCs w:val="20"/>
                <w:lang w:bidi="en-US"/>
              </w:rPr>
            </w:pPr>
            <w:r w:rsidRPr="00FF4CF2">
              <w:rPr>
                <w:rFonts w:eastAsia="MS PGothic"/>
                <w:bCs/>
                <w:sz w:val="20"/>
                <w:szCs w:val="20"/>
                <w:lang w:bidi="en-US"/>
              </w:rPr>
              <w:t>(A) procuring content and ensuring content quality; and</w:t>
            </w:r>
          </w:p>
          <w:p w14:paraId="418CEE3B" w14:textId="2A5B03B8" w:rsidR="00193F26" w:rsidRPr="00FF4CF2" w:rsidRDefault="00193F26" w:rsidP="003358D4">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(B) purchasing devices, equipment, and software applications in order to address readiness shortfalls;</w:t>
            </w:r>
          </w:p>
        </w:tc>
      </w:tr>
      <w:tr w:rsidR="00193F26" w:rsidRPr="00FF4CF2" w14:paraId="6CFC71D4" w14:textId="77777777" w:rsidTr="00577010">
        <w:trPr>
          <w:jc w:val="center"/>
        </w:trPr>
        <w:tc>
          <w:tcPr>
            <w:tcW w:w="3955" w:type="dxa"/>
            <w:shd w:val="clear" w:color="auto" w:fill="auto"/>
            <w:vAlign w:val="center"/>
          </w:tcPr>
          <w:p w14:paraId="5D1E7271" w14:textId="77777777" w:rsidR="00193F26" w:rsidRPr="00FF4CF2" w:rsidRDefault="00193F26" w:rsidP="003358D4">
            <w:pPr>
              <w:keepNext/>
              <w:keepLines/>
              <w:spacing w:after="0" w:line="240" w:lineRule="auto"/>
              <w:ind w:right="0"/>
              <w:jc w:val="center"/>
              <w:outlineLvl w:val="2"/>
              <w:rPr>
                <w:rFonts w:eastAsia="MS PGothic"/>
                <w:b/>
                <w:bCs/>
                <w:sz w:val="20"/>
                <w:szCs w:val="20"/>
                <w:lang w:bidi="en-US"/>
              </w:rPr>
            </w:pPr>
            <w:r w:rsidRPr="00FF4CF2">
              <w:rPr>
                <w:rFonts w:eastAsia="MS PGothic"/>
                <w:b/>
                <w:bCs/>
                <w:sz w:val="20"/>
                <w:szCs w:val="20"/>
                <w:lang w:bidi="en-US"/>
              </w:rPr>
              <w:t>Innovative Strategies</w:t>
            </w:r>
          </w:p>
        </w:tc>
        <w:tc>
          <w:tcPr>
            <w:tcW w:w="6413" w:type="dxa"/>
            <w:shd w:val="clear" w:color="auto" w:fill="auto"/>
            <w:vAlign w:val="center"/>
          </w:tcPr>
          <w:p w14:paraId="741935CF" w14:textId="77777777"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(3) developing or using effective or innovative strategies for the delivery of specialized or rigorous academic courses and curricula through the use of technology, including digital learning technologies and assistive technology;</w:t>
            </w:r>
          </w:p>
        </w:tc>
      </w:tr>
      <w:tr w:rsidR="00193F26" w:rsidRPr="00FF4CF2" w14:paraId="733D4E4B" w14:textId="77777777" w:rsidTr="00577010">
        <w:trPr>
          <w:trHeight w:val="1862"/>
          <w:jc w:val="center"/>
        </w:trPr>
        <w:tc>
          <w:tcPr>
            <w:tcW w:w="3955" w:type="dxa"/>
            <w:shd w:val="clear" w:color="auto" w:fill="auto"/>
            <w:vAlign w:val="center"/>
          </w:tcPr>
          <w:p w14:paraId="2BA7D01F" w14:textId="77777777" w:rsidR="00193F26" w:rsidRPr="00FF4CF2" w:rsidRDefault="00193F26" w:rsidP="00AA7665">
            <w:pPr>
              <w:spacing w:after="0" w:line="240" w:lineRule="auto"/>
              <w:ind w:right="0"/>
              <w:jc w:val="center"/>
              <w:rPr>
                <w:rFonts w:eastAsia="MS PGothic"/>
                <w:b/>
                <w:sz w:val="20"/>
                <w:szCs w:val="20"/>
                <w:lang w:bidi="en-US"/>
              </w:rPr>
            </w:pPr>
            <w:r w:rsidRPr="00FF4CF2">
              <w:rPr>
                <w:rFonts w:eastAsia="MS PGothic"/>
                <w:b/>
                <w:sz w:val="20"/>
                <w:szCs w:val="20"/>
                <w:lang w:bidi="en-US"/>
              </w:rPr>
              <w:t>Blended Learning</w:t>
            </w:r>
          </w:p>
          <w:p w14:paraId="5FE803B6" w14:textId="77777777" w:rsidR="00193F26" w:rsidRPr="00FF4CF2" w:rsidRDefault="00193F26" w:rsidP="00AA7665">
            <w:pPr>
              <w:spacing w:after="0" w:line="240" w:lineRule="auto"/>
              <w:ind w:right="0"/>
              <w:jc w:val="center"/>
              <w:rPr>
                <w:rFonts w:eastAsia="MS PGothic"/>
                <w:sz w:val="20"/>
                <w:szCs w:val="20"/>
                <w:lang w:bidi="en-US"/>
              </w:rPr>
            </w:pPr>
            <w:r w:rsidRPr="00FF4CF2">
              <w:rPr>
                <w:rFonts w:eastAsia="MS PGothic"/>
                <w:sz w:val="20"/>
                <w:szCs w:val="20"/>
                <w:lang w:bidi="en-US"/>
              </w:rPr>
              <w:t>(4) carrying out blended learning projects, which shall include—</w:t>
            </w:r>
          </w:p>
        </w:tc>
        <w:tc>
          <w:tcPr>
            <w:tcW w:w="6413" w:type="dxa"/>
            <w:shd w:val="clear" w:color="auto" w:fill="auto"/>
            <w:vAlign w:val="center"/>
          </w:tcPr>
          <w:p w14:paraId="62E33DC6" w14:textId="77777777"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 xml:space="preserve">(A) planning activities, which may include </w:t>
            </w:r>
            <w:proofErr w:type="gramStart"/>
            <w:r w:rsidRPr="00FF4CF2">
              <w:rPr>
                <w:rFonts w:eastAsia="MS PGothic"/>
                <w:bCs/>
                <w:sz w:val="20"/>
                <w:szCs w:val="20"/>
                <w:lang w:bidi="en-US"/>
              </w:rPr>
              <w:t>development</w:t>
            </w:r>
            <w:proofErr w:type="gramEnd"/>
            <w:r w:rsidRPr="00FF4CF2">
              <w:rPr>
                <w:rFonts w:eastAsia="MS PGothic"/>
                <w:bCs/>
                <w:sz w:val="20"/>
                <w:szCs w:val="20"/>
                <w:lang w:bidi="en-US"/>
              </w:rPr>
              <w:t xml:space="preserve"> of new instructional models (including blended learning technology software and platforms), the purchase of digital instructional resources, initial professional development activities, and one-time information technology purchases, except that such expenditures may not include expenditures related to significant construction or renovation of facilities; or</w:t>
            </w:r>
          </w:p>
          <w:p w14:paraId="42C5BAE8" w14:textId="77777777" w:rsidR="00193F26" w:rsidRPr="00FF4CF2" w:rsidRDefault="00193F26" w:rsidP="00AA7665">
            <w:pPr>
              <w:keepNext/>
              <w:keepLines/>
              <w:spacing w:before="200" w:after="0" w:line="240" w:lineRule="auto"/>
              <w:ind w:right="0"/>
              <w:outlineLvl w:val="2"/>
              <w:rPr>
                <w:rFonts w:eastAsia="MS PGothic"/>
                <w:bCs/>
                <w:sz w:val="20"/>
                <w:szCs w:val="20"/>
                <w:lang w:bidi="en-US"/>
              </w:rPr>
            </w:pPr>
            <w:r w:rsidRPr="00FF4CF2">
              <w:rPr>
                <w:rFonts w:eastAsia="MS PGothic"/>
                <w:bCs/>
                <w:sz w:val="20"/>
                <w:szCs w:val="20"/>
                <w:lang w:bidi="en-US"/>
              </w:rPr>
              <w:t>(B) ongoing professional development for teachers, principals, other school leaders, or other personnel involved in the project that is designed to support the implementation and academic success of the project;</w:t>
            </w:r>
          </w:p>
        </w:tc>
      </w:tr>
      <w:tr w:rsidR="00193F26" w:rsidRPr="00FF4CF2" w14:paraId="26CE158C" w14:textId="77777777" w:rsidTr="00577010">
        <w:trPr>
          <w:trHeight w:val="872"/>
          <w:jc w:val="center"/>
        </w:trPr>
        <w:tc>
          <w:tcPr>
            <w:tcW w:w="3955" w:type="dxa"/>
            <w:shd w:val="clear" w:color="auto" w:fill="auto"/>
            <w:vAlign w:val="center"/>
          </w:tcPr>
          <w:p w14:paraId="73DFA92A" w14:textId="72E270DB" w:rsidR="00193F26" w:rsidRPr="00FF4CF2" w:rsidRDefault="00193F26" w:rsidP="00AA7665">
            <w:pPr>
              <w:spacing w:after="0" w:line="240" w:lineRule="auto"/>
              <w:ind w:right="0"/>
              <w:jc w:val="center"/>
              <w:rPr>
                <w:rFonts w:eastAsia="MS PGothic"/>
                <w:b/>
                <w:sz w:val="20"/>
                <w:szCs w:val="20"/>
                <w:lang w:bidi="en-US"/>
              </w:rPr>
            </w:pPr>
            <w:r w:rsidRPr="00FF4CF2">
              <w:rPr>
                <w:rFonts w:eastAsia="MS PGothic"/>
                <w:b/>
                <w:bCs/>
                <w:sz w:val="20"/>
                <w:szCs w:val="20"/>
                <w:lang w:bidi="en-US"/>
              </w:rPr>
              <w:t>STEM PD</w:t>
            </w:r>
          </w:p>
        </w:tc>
        <w:tc>
          <w:tcPr>
            <w:tcW w:w="6413" w:type="dxa"/>
            <w:shd w:val="clear" w:color="auto" w:fill="auto"/>
            <w:vAlign w:val="center"/>
          </w:tcPr>
          <w:p w14:paraId="6669A9B7" w14:textId="2139AA12"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(5) providing professional development in the use of technology (which may be provided through partnerships with outside organizations) to enable teachers and instructional leaders to increase student achievement in the areas of science, technology, engineering, and mathematics, including computer science; and</w:t>
            </w:r>
          </w:p>
        </w:tc>
      </w:tr>
      <w:tr w:rsidR="00193F26" w:rsidRPr="00FF4CF2" w14:paraId="214422A6" w14:textId="77777777" w:rsidTr="00577010">
        <w:trPr>
          <w:trHeight w:val="692"/>
          <w:jc w:val="center"/>
        </w:trPr>
        <w:tc>
          <w:tcPr>
            <w:tcW w:w="3955" w:type="dxa"/>
            <w:shd w:val="clear" w:color="auto" w:fill="auto"/>
            <w:vAlign w:val="center"/>
          </w:tcPr>
          <w:p w14:paraId="47F4C84F" w14:textId="36421EB9" w:rsidR="00193F26" w:rsidRPr="00FF4CF2" w:rsidRDefault="00193F26" w:rsidP="00AA7665">
            <w:pPr>
              <w:spacing w:after="0" w:line="240" w:lineRule="auto"/>
              <w:ind w:right="0"/>
              <w:jc w:val="center"/>
              <w:rPr>
                <w:rFonts w:eastAsia="MS PGothic"/>
                <w:b/>
                <w:bCs/>
                <w:sz w:val="20"/>
                <w:szCs w:val="20"/>
                <w:lang w:bidi="en-US"/>
              </w:rPr>
            </w:pPr>
            <w:r w:rsidRPr="00FF4CF2">
              <w:rPr>
                <w:rFonts w:eastAsia="MS PGothic"/>
                <w:b/>
                <w:bCs/>
                <w:sz w:val="20"/>
                <w:szCs w:val="20"/>
                <w:lang w:bidi="en-US"/>
              </w:rPr>
              <w:t>Rural</w:t>
            </w:r>
          </w:p>
        </w:tc>
        <w:tc>
          <w:tcPr>
            <w:tcW w:w="6413" w:type="dxa"/>
            <w:shd w:val="clear" w:color="auto" w:fill="auto"/>
            <w:vAlign w:val="center"/>
          </w:tcPr>
          <w:p w14:paraId="14B55731" w14:textId="7202A550" w:rsidR="00193F26" w:rsidRPr="00FF4CF2" w:rsidRDefault="00193F26" w:rsidP="0038671F">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(6) providing students in rural, remote, and underserved areas with the resources to take advantage of high-quality digital learning experiences, digital resources, and access to online courses taught by effective educators.</w:t>
            </w:r>
          </w:p>
        </w:tc>
      </w:tr>
      <w:tr w:rsidR="00193F26" w:rsidRPr="00FF4CF2" w14:paraId="4BE73AAB" w14:textId="77777777" w:rsidTr="00577010">
        <w:trPr>
          <w:trHeight w:val="287"/>
          <w:jc w:val="center"/>
        </w:trPr>
        <w:tc>
          <w:tcPr>
            <w:tcW w:w="3955" w:type="dxa"/>
            <w:shd w:val="clear" w:color="auto" w:fill="auto"/>
            <w:vAlign w:val="center"/>
          </w:tcPr>
          <w:p w14:paraId="5A0BCD03" w14:textId="70F87FAD" w:rsidR="00193F26" w:rsidRPr="00FF4CF2" w:rsidRDefault="00193F26" w:rsidP="003C0C37">
            <w:pPr>
              <w:spacing w:after="0" w:line="240" w:lineRule="auto"/>
              <w:ind w:right="0"/>
              <w:jc w:val="center"/>
              <w:rPr>
                <w:rFonts w:eastAsia="MS PGothic"/>
                <w:b/>
                <w:bCs/>
                <w:sz w:val="20"/>
                <w:szCs w:val="20"/>
                <w:lang w:bidi="en-US"/>
              </w:rPr>
            </w:pPr>
            <w:r w:rsidRPr="00FF4CF2">
              <w:rPr>
                <w:rFonts w:eastAsia="MS PGothic"/>
                <w:b/>
                <w:bCs/>
                <w:sz w:val="20"/>
                <w:szCs w:val="20"/>
                <w:lang w:bidi="en-US"/>
              </w:rPr>
              <w:t>Other (requires approved description)</w:t>
            </w:r>
          </w:p>
        </w:tc>
        <w:tc>
          <w:tcPr>
            <w:tcW w:w="6413" w:type="dxa"/>
            <w:shd w:val="clear" w:color="auto" w:fill="auto"/>
            <w:vAlign w:val="center"/>
          </w:tcPr>
          <w:p w14:paraId="11C4C675" w14:textId="00B97E33" w:rsidR="00193F26" w:rsidRPr="00FF4CF2" w:rsidRDefault="00193F26" w:rsidP="003C0C37">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 xml:space="preserve">(7) Other activities and programs to support the effective use of technology.  </w:t>
            </w:r>
          </w:p>
        </w:tc>
      </w:tr>
      <w:tr w:rsidR="00193F26" w:rsidRPr="00FF4CF2" w14:paraId="5EC1414E" w14:textId="77777777" w:rsidTr="00577010">
        <w:trPr>
          <w:trHeight w:val="215"/>
          <w:jc w:val="center"/>
        </w:trPr>
        <w:tc>
          <w:tcPr>
            <w:tcW w:w="3955" w:type="dxa"/>
            <w:shd w:val="clear" w:color="auto" w:fill="auto"/>
            <w:vAlign w:val="center"/>
          </w:tcPr>
          <w:p w14:paraId="2BD1E35F" w14:textId="77777777" w:rsidR="00193F26" w:rsidRPr="00FF4CF2" w:rsidRDefault="00193F26" w:rsidP="00FF4CF2">
            <w:pPr>
              <w:keepNext/>
              <w:keepLines/>
              <w:spacing w:after="0" w:line="240" w:lineRule="auto"/>
              <w:ind w:right="0"/>
              <w:jc w:val="center"/>
              <w:outlineLvl w:val="2"/>
              <w:rPr>
                <w:rFonts w:eastAsia="MS PGothic"/>
                <w:b/>
                <w:bCs/>
                <w:sz w:val="20"/>
                <w:szCs w:val="20"/>
                <w:lang w:bidi="en-US"/>
              </w:rPr>
            </w:pPr>
            <w:bookmarkStart w:id="0" w:name="_Hlk37155414"/>
            <w:r w:rsidRPr="00FF4CF2">
              <w:rPr>
                <w:rFonts w:eastAsia="MS PGothic"/>
                <w:b/>
                <w:bCs/>
                <w:sz w:val="20"/>
                <w:szCs w:val="20"/>
                <w:lang w:bidi="en-US"/>
              </w:rPr>
              <w:t>Assistive Technology</w:t>
            </w:r>
          </w:p>
        </w:tc>
        <w:tc>
          <w:tcPr>
            <w:tcW w:w="6413" w:type="dxa"/>
            <w:shd w:val="clear" w:color="auto" w:fill="auto"/>
            <w:vAlign w:val="center"/>
          </w:tcPr>
          <w:p w14:paraId="2E0C70E1" w14:textId="77777777" w:rsidR="00193F26" w:rsidRPr="00FF4CF2" w:rsidRDefault="00193F26" w:rsidP="003C0C37">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 xml:space="preserve">Make assistive technology available to students with disabilities. </w:t>
            </w:r>
          </w:p>
        </w:tc>
      </w:tr>
      <w:tr w:rsidR="00193F26" w:rsidRPr="00FF4CF2" w14:paraId="5B987ED9" w14:textId="77777777" w:rsidTr="00577010">
        <w:trPr>
          <w:trHeight w:val="260"/>
          <w:jc w:val="center"/>
        </w:trPr>
        <w:tc>
          <w:tcPr>
            <w:tcW w:w="3955" w:type="dxa"/>
            <w:shd w:val="clear" w:color="auto" w:fill="auto"/>
            <w:vAlign w:val="center"/>
          </w:tcPr>
          <w:p w14:paraId="36F33AF5" w14:textId="77777777" w:rsidR="00193F26" w:rsidRPr="00FF4CF2" w:rsidRDefault="00193F26" w:rsidP="00FF4CF2">
            <w:pPr>
              <w:keepNext/>
              <w:keepLines/>
              <w:spacing w:after="0" w:line="240" w:lineRule="auto"/>
              <w:ind w:right="0"/>
              <w:jc w:val="center"/>
              <w:outlineLvl w:val="2"/>
              <w:rPr>
                <w:rFonts w:eastAsia="MS PGothic"/>
                <w:b/>
                <w:bCs/>
                <w:sz w:val="20"/>
                <w:szCs w:val="20"/>
                <w:lang w:bidi="en-US"/>
              </w:rPr>
            </w:pPr>
            <w:r w:rsidRPr="00FF4CF2">
              <w:rPr>
                <w:rFonts w:eastAsia="MS PGothic"/>
                <w:b/>
                <w:bCs/>
                <w:sz w:val="20"/>
                <w:szCs w:val="20"/>
                <w:lang w:bidi="en-US"/>
              </w:rPr>
              <w:t>English Learners</w:t>
            </w:r>
          </w:p>
        </w:tc>
        <w:tc>
          <w:tcPr>
            <w:tcW w:w="6413" w:type="dxa"/>
            <w:shd w:val="clear" w:color="auto" w:fill="auto"/>
            <w:vAlign w:val="center"/>
          </w:tcPr>
          <w:p w14:paraId="2C2998E1" w14:textId="77777777" w:rsidR="00193F26" w:rsidRPr="00FF4CF2" w:rsidRDefault="00193F26" w:rsidP="003C0C37">
            <w:pPr>
              <w:keepNext/>
              <w:keepLines/>
              <w:spacing w:after="0" w:line="240" w:lineRule="auto"/>
              <w:ind w:right="0"/>
              <w:outlineLvl w:val="2"/>
              <w:rPr>
                <w:rFonts w:eastAsia="MS PGothic"/>
                <w:bCs/>
                <w:sz w:val="20"/>
                <w:szCs w:val="20"/>
                <w:lang w:bidi="en-US"/>
              </w:rPr>
            </w:pPr>
            <w:r w:rsidRPr="00FF4CF2">
              <w:rPr>
                <w:rFonts w:eastAsia="MS PGothic"/>
                <w:bCs/>
                <w:sz w:val="20"/>
                <w:szCs w:val="20"/>
                <w:lang w:bidi="en-US"/>
              </w:rPr>
              <w:t xml:space="preserve">Use technology to support English Learners. </w:t>
            </w:r>
          </w:p>
        </w:tc>
      </w:tr>
      <w:bookmarkEnd w:id="0"/>
    </w:tbl>
    <w:p w14:paraId="16D31A09" w14:textId="77777777" w:rsidR="00886279" w:rsidRPr="00A450B8" w:rsidRDefault="00886279" w:rsidP="005877F1">
      <w:pPr>
        <w:pStyle w:val="Text"/>
      </w:pPr>
    </w:p>
    <w:sectPr w:rsidR="00886279" w:rsidRPr="00A450B8" w:rsidSect="00446328">
      <w:headerReference w:type="default" r:id="rId7"/>
      <w:headerReference w:type="first" r:id="rId8"/>
      <w:pgSz w:w="12240" w:h="15840" w:code="1"/>
      <w:pgMar w:top="720" w:right="720" w:bottom="720" w:left="72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6D565" w14:textId="77777777" w:rsidR="006E287E" w:rsidRDefault="006E287E" w:rsidP="00D167BF">
      <w:pPr>
        <w:spacing w:after="0" w:line="240" w:lineRule="auto"/>
      </w:pPr>
      <w:r>
        <w:separator/>
      </w:r>
    </w:p>
  </w:endnote>
  <w:endnote w:type="continuationSeparator" w:id="0">
    <w:p w14:paraId="20B8D9F0" w14:textId="77777777" w:rsidR="006E287E" w:rsidRDefault="006E287E"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382C6" w14:textId="77777777" w:rsidR="006E287E" w:rsidRDefault="006E287E" w:rsidP="00D167BF">
      <w:pPr>
        <w:spacing w:after="0" w:line="240" w:lineRule="auto"/>
      </w:pPr>
      <w:r>
        <w:separator/>
      </w:r>
    </w:p>
  </w:footnote>
  <w:footnote w:type="continuationSeparator" w:id="0">
    <w:p w14:paraId="23816B62" w14:textId="77777777" w:rsidR="006E287E" w:rsidRDefault="006E287E"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CA19" w14:textId="77777777" w:rsidR="00B97B79" w:rsidRDefault="00B97B79">
    <w:pPr>
      <w:pStyle w:val="Header"/>
    </w:pPr>
  </w:p>
  <w:p w14:paraId="36D8E412" w14:textId="068C0AE4" w:rsidR="00431BA8" w:rsidRDefault="009C05B5">
    <w:pPr>
      <w:pStyle w:val="Header"/>
    </w:pPr>
    <w:r>
      <w:rPr>
        <w:noProof/>
      </w:rPr>
      <w:drawing>
        <wp:anchor distT="0" distB="0" distL="114300" distR="114300" simplePos="0" relativeHeight="251656704" behindDoc="0" locked="0" layoutInCell="1" allowOverlap="1" wp14:anchorId="53E5B9B1" wp14:editId="0EACD79F">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248DA" w14:textId="1A0957E7" w:rsidR="00431BA8" w:rsidRDefault="003D5D11">
    <w:pPr>
      <w:pStyle w:val="Header"/>
    </w:pPr>
    <w:r>
      <w:t>Title IV, Part A Allowable Uses</w:t>
    </w:r>
  </w:p>
  <w:p w14:paraId="07A1A386" w14:textId="77777777" w:rsidR="005877F1" w:rsidRDefault="005877F1">
    <w:pPr>
      <w:pStyle w:val="Header"/>
    </w:pPr>
  </w:p>
  <w:p w14:paraId="5F0AF45D" w14:textId="34E9FCE6" w:rsidR="00431BA8" w:rsidRDefault="009C05B5">
    <w:pPr>
      <w:pStyle w:val="Header"/>
    </w:pPr>
    <w:r>
      <w:rPr>
        <w:noProof/>
      </w:rPr>
      <mc:AlternateContent>
        <mc:Choice Requires="wps">
          <w:drawing>
            <wp:anchor distT="4294967295" distB="4294967295" distL="114300" distR="114300" simplePos="0" relativeHeight="251657728" behindDoc="0" locked="0" layoutInCell="1" allowOverlap="1" wp14:anchorId="2F11A6C0" wp14:editId="41AC6BB5">
              <wp:simplePos x="0" y="0"/>
              <wp:positionH relativeFrom="column">
                <wp:posOffset>0</wp:posOffset>
              </wp:positionH>
              <wp:positionV relativeFrom="paragraph">
                <wp:posOffset>32384</wp:posOffset>
              </wp:positionV>
              <wp:extent cx="6889750" cy="0"/>
              <wp:effectExtent l="0" t="0" r="0" b="0"/>
              <wp:wrapNone/>
              <wp:docPr id="1"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396D007"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CD0gEAAJADAAAOAAAAZHJzL2Uyb0RvYy54bWysU8tu2zAQvBfoPxC813JSOHUEywFiI70E&#10;rQG3H7CmKIkIX9hlLfvvu6QfTdpbER0Icnc5y5kdLR4Ozoq9RjLBN/JmMpVCexVa4/tG/vzx9Gku&#10;BSXwLdjgdSOPmuTD8uOHxRhrfRuGYFuNgkE81WNs5JBSrKuK1KAd0CRE7TnZBXSQ+Ih91SKMjO5s&#10;dTud3lVjwDZiUJqIo+tTUi4Lftdplb53HekkbCP5bamsWNZdXqvlAuoeIQ5GnZ8B//EKB8Zz0yvU&#10;GhKIX2j+gXJGYaDQpYkKrgpdZ5QuHJjNzfQvNtsBoi5cWByKV5no/WDVt/0GhWl5dlJ4cDyibUIw&#10;/ZDEKnjPAgYUs6zTGKnm8pXfYGaqDn4bn4N6Ic5Vb5L5QPFUdujQ5XKmKg5F9+NVd31IQnHwbj6/&#10;/zLj8ahLroL6cjEipa86OJE3jbTGZ0mghv0zpdwa6ktJDvvwZKwtY7VejAz+uSADm6uzkLiJi0yX&#10;fC8F2J5dqxIWRArWtPl2xiHsdyuLYg/snNnj/eO6iMDd3pTl1mug4VRXUidPOZPY2Na4Rs6n+cth&#10;vm19RtfFmmcCf+TKu11ojxu8aMpjL9fOFs2+en3m/esfafkb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AoGrCD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EA82" w14:textId="12D69AF4" w:rsidR="00D167BF" w:rsidRDefault="009C05B5">
    <w:pPr>
      <w:pStyle w:val="Header"/>
    </w:pPr>
    <w:r>
      <w:rPr>
        <w:noProof/>
      </w:rPr>
      <w:drawing>
        <wp:anchor distT="0" distB="0" distL="114300" distR="114300" simplePos="0" relativeHeight="251658752" behindDoc="1" locked="0" layoutInCell="1" allowOverlap="1" wp14:anchorId="5336D95C" wp14:editId="17D8B293">
          <wp:simplePos x="0" y="0"/>
          <wp:positionH relativeFrom="column">
            <wp:posOffset>-469265</wp:posOffset>
          </wp:positionH>
          <wp:positionV relativeFrom="paragraph">
            <wp:posOffset>0</wp:posOffset>
          </wp:positionV>
          <wp:extent cx="7809230" cy="161036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214B"/>
    <w:rsid w:val="0004504D"/>
    <w:rsid w:val="00052B92"/>
    <w:rsid w:val="000F6114"/>
    <w:rsid w:val="001057C6"/>
    <w:rsid w:val="0013025E"/>
    <w:rsid w:val="00155B16"/>
    <w:rsid w:val="00193F26"/>
    <w:rsid w:val="00197BBC"/>
    <w:rsid w:val="001A4964"/>
    <w:rsid w:val="001D0704"/>
    <w:rsid w:val="001E0783"/>
    <w:rsid w:val="001E14FA"/>
    <w:rsid w:val="002058B8"/>
    <w:rsid w:val="002D1917"/>
    <w:rsid w:val="002D3E62"/>
    <w:rsid w:val="002E14DE"/>
    <w:rsid w:val="0033217A"/>
    <w:rsid w:val="003358D4"/>
    <w:rsid w:val="003465C6"/>
    <w:rsid w:val="0038671F"/>
    <w:rsid w:val="003C0C37"/>
    <w:rsid w:val="003D5D11"/>
    <w:rsid w:val="00431BA8"/>
    <w:rsid w:val="00435834"/>
    <w:rsid w:val="004433C7"/>
    <w:rsid w:val="00446328"/>
    <w:rsid w:val="004752A9"/>
    <w:rsid w:val="00501B31"/>
    <w:rsid w:val="0050220A"/>
    <w:rsid w:val="00566B46"/>
    <w:rsid w:val="00575EC4"/>
    <w:rsid w:val="005765E2"/>
    <w:rsid w:val="00577010"/>
    <w:rsid w:val="005877F1"/>
    <w:rsid w:val="005F6AEC"/>
    <w:rsid w:val="0060452F"/>
    <w:rsid w:val="00625EB0"/>
    <w:rsid w:val="0064241A"/>
    <w:rsid w:val="006879FC"/>
    <w:rsid w:val="0069309A"/>
    <w:rsid w:val="006A3AD3"/>
    <w:rsid w:val="006D03E5"/>
    <w:rsid w:val="006E287E"/>
    <w:rsid w:val="0070646C"/>
    <w:rsid w:val="007159D3"/>
    <w:rsid w:val="00726F18"/>
    <w:rsid w:val="00736775"/>
    <w:rsid w:val="00757764"/>
    <w:rsid w:val="0079210B"/>
    <w:rsid w:val="00805867"/>
    <w:rsid w:val="008170B8"/>
    <w:rsid w:val="0086052E"/>
    <w:rsid w:val="00863B2A"/>
    <w:rsid w:val="00881963"/>
    <w:rsid w:val="00886279"/>
    <w:rsid w:val="008F4D43"/>
    <w:rsid w:val="00953810"/>
    <w:rsid w:val="00993E12"/>
    <w:rsid w:val="009A0649"/>
    <w:rsid w:val="009C05B5"/>
    <w:rsid w:val="00A15A0B"/>
    <w:rsid w:val="00A171EC"/>
    <w:rsid w:val="00A37AE5"/>
    <w:rsid w:val="00A450B8"/>
    <w:rsid w:val="00A9590E"/>
    <w:rsid w:val="00AA4C44"/>
    <w:rsid w:val="00AA7665"/>
    <w:rsid w:val="00AF79D2"/>
    <w:rsid w:val="00B010F0"/>
    <w:rsid w:val="00B045DF"/>
    <w:rsid w:val="00B97B79"/>
    <w:rsid w:val="00BA7042"/>
    <w:rsid w:val="00BD2C14"/>
    <w:rsid w:val="00C4002C"/>
    <w:rsid w:val="00C426F9"/>
    <w:rsid w:val="00C51F8E"/>
    <w:rsid w:val="00C6778A"/>
    <w:rsid w:val="00C71B4D"/>
    <w:rsid w:val="00C7535A"/>
    <w:rsid w:val="00C91EAE"/>
    <w:rsid w:val="00C93292"/>
    <w:rsid w:val="00C94BEC"/>
    <w:rsid w:val="00CD18A2"/>
    <w:rsid w:val="00D019EA"/>
    <w:rsid w:val="00D07798"/>
    <w:rsid w:val="00D167BF"/>
    <w:rsid w:val="00D22B7F"/>
    <w:rsid w:val="00D31700"/>
    <w:rsid w:val="00D41CDA"/>
    <w:rsid w:val="00D462A7"/>
    <w:rsid w:val="00D55DD1"/>
    <w:rsid w:val="00D72CFD"/>
    <w:rsid w:val="00DE123D"/>
    <w:rsid w:val="00DE75AB"/>
    <w:rsid w:val="00DE7B5D"/>
    <w:rsid w:val="00E8179F"/>
    <w:rsid w:val="00F07CBC"/>
    <w:rsid w:val="00F25533"/>
    <w:rsid w:val="00F8163B"/>
    <w:rsid w:val="00F860D7"/>
    <w:rsid w:val="00F952CB"/>
    <w:rsid w:val="00FA2CDA"/>
    <w:rsid w:val="00FD0DA6"/>
    <w:rsid w:val="00FF4CF2"/>
    <w:rsid w:val="00FF51FF"/>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2E4F5"/>
  <w15:chartTrackingRefBased/>
  <w15:docId w15:val="{FF550C5E-23DC-4C09-8727-91942AFB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886279"/>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customStyle="1" w:styleId="TableGrid1">
    <w:name w:val="Table Grid1"/>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styleId="TableGrid">
    <w:name w:val="Table Grid"/>
    <w:basedOn w:val="TableNormal"/>
    <w:uiPriority w:val="39"/>
    <w:rsid w:val="0088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3">
    <w:name w:val="Table Grid3"/>
    <w:basedOn w:val="TableNormal"/>
    <w:next w:val="TableGrid"/>
    <w:rsid w:val="00886279"/>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11">
    <w:name w:val="Table Grid11"/>
    <w:basedOn w:val="TableNormal"/>
    <w:uiPriority w:val="59"/>
    <w:rsid w:val="00886279"/>
    <w:rPr>
      <w:rFonts w:eastAsia="MS PGothic"/>
      <w:sz w:val="22"/>
      <w:szCs w:val="22"/>
      <w:lang w:bidi="en-US"/>
    </w:rPr>
    <w:tblPr>
      <w:tblInd w:w="0" w:type="nil"/>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1E1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4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B4CD-442C-4CC2-93F1-3423FD71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Boylan, Kim</cp:lastModifiedBy>
  <cp:revision>2</cp:revision>
  <dcterms:created xsi:type="dcterms:W3CDTF">2025-03-18T14:59:00Z</dcterms:created>
  <dcterms:modified xsi:type="dcterms:W3CDTF">2025-03-18T14:59:00Z</dcterms:modified>
</cp:coreProperties>
</file>