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9A2EC3">
        <w:tc>
          <w:tcPr>
            <w:tcW w:w="10790" w:type="dxa"/>
          </w:tcPr>
          <w:p w14:paraId="3B8D9B6E" w14:textId="760AC0E4" w:rsidR="009A2EC3" w:rsidRPr="007108F1" w:rsidRDefault="009A2EC3" w:rsidP="00BC3B6A">
            <w:pPr>
              <w:tabs>
                <w:tab w:val="left" w:pos="2430"/>
              </w:tabs>
              <w:rPr>
                <w:rFonts w:ascii="Arial" w:hAnsi="Arial" w:cs="Arial"/>
              </w:rPr>
            </w:pPr>
            <w:r w:rsidRPr="007108F1">
              <w:rPr>
                <w:rFonts w:ascii="Arial" w:hAnsi="Arial" w:cs="Arial"/>
                <w:b/>
              </w:rPr>
              <w:t>Name of Entity:</w:t>
            </w:r>
            <w:r w:rsidRPr="007108F1">
              <w:rPr>
                <w:rFonts w:ascii="Arial" w:hAnsi="Arial" w:cs="Arial"/>
              </w:rPr>
              <w:t xml:space="preserve"> </w:t>
            </w:r>
            <w:r w:rsidR="007108F1" w:rsidRPr="007108F1">
              <w:rPr>
                <w:rFonts w:ascii="Arial" w:hAnsi="Arial" w:cs="Arial"/>
              </w:rPr>
              <w:t>Orton</w:t>
            </w:r>
            <w:r w:rsidR="007108F1">
              <w:rPr>
                <w:rFonts w:ascii="Arial" w:hAnsi="Arial" w:cs="Arial"/>
              </w:rPr>
              <w:t>-</w:t>
            </w:r>
            <w:r w:rsidR="007108F1" w:rsidRPr="007108F1">
              <w:rPr>
                <w:rFonts w:ascii="Arial" w:hAnsi="Arial" w:cs="Arial"/>
              </w:rPr>
              <w:t>Gillingham</w:t>
            </w:r>
            <w:r w:rsidR="007108F1">
              <w:rPr>
                <w:rFonts w:ascii="Arial" w:hAnsi="Arial" w:cs="Arial"/>
              </w:rPr>
              <w:t xml:space="preserve"> International </w:t>
            </w:r>
          </w:p>
        </w:tc>
      </w:tr>
      <w:tr w:rsidR="009A2EC3" w14:paraId="788A91D0" w14:textId="77777777" w:rsidTr="009A2EC3">
        <w:tc>
          <w:tcPr>
            <w:tcW w:w="10790" w:type="dxa"/>
          </w:tcPr>
          <w:p w14:paraId="41F53F4F" w14:textId="5E991EC5" w:rsidR="009A2EC3" w:rsidRPr="007108F1" w:rsidRDefault="009A2EC3" w:rsidP="009A2EC3">
            <w:pPr>
              <w:rPr>
                <w:rFonts w:ascii="Arial" w:hAnsi="Arial" w:cs="Arial"/>
              </w:rPr>
            </w:pPr>
            <w:r w:rsidRPr="007108F1">
              <w:rPr>
                <w:rFonts w:ascii="Arial" w:hAnsi="Arial" w:cs="Arial"/>
                <w:b/>
              </w:rPr>
              <w:t xml:space="preserve">Name of Product: </w:t>
            </w:r>
            <w:r w:rsidR="007108F1" w:rsidRPr="007108F1">
              <w:rPr>
                <w:rFonts w:ascii="Arial" w:hAnsi="Arial" w:cs="Arial"/>
                <w:bCs/>
              </w:rPr>
              <w:t>Yoshimoto-Orton</w:t>
            </w:r>
            <w:r w:rsidR="005D202B">
              <w:rPr>
                <w:rFonts w:ascii="Arial" w:hAnsi="Arial" w:cs="Arial"/>
                <w:bCs/>
              </w:rPr>
              <w:t xml:space="preserve"> Gillingham</w:t>
            </w:r>
            <w:r w:rsidR="007108F1" w:rsidRPr="007108F1">
              <w:rPr>
                <w:rFonts w:ascii="Arial" w:hAnsi="Arial" w:cs="Arial"/>
                <w:bCs/>
              </w:rPr>
              <w:t xml:space="preserve"> International (Y-OGI) Basic Course</w:t>
            </w:r>
          </w:p>
        </w:tc>
      </w:tr>
      <w:tr w:rsidR="009A2EC3" w14:paraId="2731C2D1" w14:textId="77777777" w:rsidTr="009A2EC3">
        <w:tc>
          <w:tcPr>
            <w:tcW w:w="10790" w:type="dxa"/>
          </w:tcPr>
          <w:p w14:paraId="7708C9C7" w14:textId="766B5317" w:rsidR="009A2EC3" w:rsidRPr="007108F1" w:rsidRDefault="009A2EC3" w:rsidP="009A2EC3">
            <w:pPr>
              <w:rPr>
                <w:rFonts w:ascii="Arial" w:hAnsi="Arial" w:cs="Arial"/>
              </w:rPr>
            </w:pPr>
            <w:r w:rsidRPr="007108F1">
              <w:rPr>
                <w:rFonts w:ascii="Arial" w:hAnsi="Arial" w:cs="Arial"/>
                <w:b/>
              </w:rPr>
              <w:t xml:space="preserve">Publication Year: </w:t>
            </w:r>
            <w:r w:rsidR="00BC3B6A" w:rsidRPr="007108F1">
              <w:rPr>
                <w:rFonts w:ascii="Arial" w:hAnsi="Arial" w:cs="Arial"/>
                <w:bCs/>
              </w:rPr>
              <w:t>20</w:t>
            </w:r>
            <w:r w:rsidR="007108F1" w:rsidRPr="007108F1">
              <w:rPr>
                <w:rFonts w:ascii="Arial" w:hAnsi="Arial" w:cs="Arial"/>
                <w:bCs/>
              </w:rPr>
              <w:t>06</w:t>
            </w:r>
          </w:p>
        </w:tc>
      </w:tr>
      <w:tr w:rsidR="009A2EC3" w14:paraId="46E938A3" w14:textId="77777777" w:rsidTr="009A2EC3">
        <w:tc>
          <w:tcPr>
            <w:tcW w:w="10790" w:type="dxa"/>
          </w:tcPr>
          <w:p w14:paraId="3B0B9894" w14:textId="3532E401" w:rsidR="009A2EC3" w:rsidRPr="007108F1" w:rsidRDefault="009A2EC3" w:rsidP="009A2EC3">
            <w:pPr>
              <w:rPr>
                <w:rFonts w:ascii="Arial" w:hAnsi="Arial" w:cs="Arial"/>
              </w:rPr>
            </w:pPr>
            <w:r w:rsidRPr="007108F1">
              <w:rPr>
                <w:rFonts w:ascii="Arial" w:hAnsi="Arial" w:cs="Arial"/>
                <w:b/>
              </w:rPr>
              <w:t>Contact Name</w:t>
            </w:r>
            <w:r w:rsidRPr="007108F1">
              <w:rPr>
                <w:rFonts w:ascii="Arial" w:hAnsi="Arial" w:cs="Arial"/>
              </w:rPr>
              <w:t xml:space="preserve">: </w:t>
            </w:r>
            <w:r w:rsidR="007108F1" w:rsidRPr="007108F1">
              <w:rPr>
                <w:rFonts w:ascii="Arial" w:hAnsi="Arial" w:cs="Arial"/>
              </w:rPr>
              <w:t>Elenn Steinberg</w:t>
            </w:r>
          </w:p>
        </w:tc>
      </w:tr>
      <w:tr w:rsidR="009A2EC3" w14:paraId="22FD74BE" w14:textId="77777777" w:rsidTr="009A2EC3">
        <w:tc>
          <w:tcPr>
            <w:tcW w:w="10790" w:type="dxa"/>
          </w:tcPr>
          <w:p w14:paraId="7C2E9B01" w14:textId="61CA0B4E" w:rsidR="009A2EC3" w:rsidRPr="007108F1" w:rsidRDefault="009A2EC3" w:rsidP="009A2EC3">
            <w:pPr>
              <w:rPr>
                <w:rFonts w:ascii="Arial" w:hAnsi="Arial" w:cs="Arial"/>
              </w:rPr>
            </w:pPr>
            <w:r w:rsidRPr="007108F1">
              <w:rPr>
                <w:rFonts w:ascii="Arial" w:hAnsi="Arial" w:cs="Arial"/>
                <w:b/>
              </w:rPr>
              <w:t xml:space="preserve">Phone Number: </w:t>
            </w:r>
            <w:r w:rsidR="007108F1" w:rsidRPr="007108F1">
              <w:rPr>
                <w:rFonts w:ascii="Arial" w:hAnsi="Arial" w:cs="Arial"/>
                <w:bCs/>
              </w:rPr>
              <w:t>720-937-8242</w:t>
            </w:r>
          </w:p>
        </w:tc>
      </w:tr>
      <w:tr w:rsidR="009A2EC3" w14:paraId="3DCA5BED" w14:textId="77777777" w:rsidTr="009A2EC3">
        <w:tc>
          <w:tcPr>
            <w:tcW w:w="10790" w:type="dxa"/>
          </w:tcPr>
          <w:p w14:paraId="70746EC4" w14:textId="28E64136" w:rsidR="009A2EC3" w:rsidRPr="007108F1" w:rsidRDefault="009A2EC3" w:rsidP="009A2EC3">
            <w:pPr>
              <w:rPr>
                <w:rFonts w:ascii="Arial" w:hAnsi="Arial" w:cs="Arial"/>
              </w:rPr>
            </w:pPr>
            <w:r w:rsidRPr="007108F1">
              <w:rPr>
                <w:rFonts w:ascii="Arial" w:hAnsi="Arial" w:cs="Arial"/>
                <w:b/>
              </w:rPr>
              <w:t xml:space="preserve">Email Address: </w:t>
            </w:r>
            <w:r w:rsidR="007108F1" w:rsidRPr="007108F1">
              <w:rPr>
                <w:rStyle w:val="markedcontent"/>
                <w:rFonts w:ascii="Arial" w:hAnsi="Arial" w:cs="Arial"/>
              </w:rPr>
              <w:t>elenn@OrtonGillinghamInternational.org</w:t>
            </w:r>
          </w:p>
        </w:tc>
      </w:tr>
      <w:tr w:rsidR="009A2EC3" w14:paraId="754B1FC2" w14:textId="77777777" w:rsidTr="009A2EC3">
        <w:tc>
          <w:tcPr>
            <w:tcW w:w="10790" w:type="dxa"/>
          </w:tcPr>
          <w:p w14:paraId="17355D5B" w14:textId="48193457" w:rsidR="009A2EC3" w:rsidRPr="007108F1" w:rsidRDefault="009A2EC3" w:rsidP="009A2EC3">
            <w:pPr>
              <w:rPr>
                <w:rFonts w:ascii="Arial" w:hAnsi="Arial" w:cs="Arial"/>
              </w:rPr>
            </w:pPr>
            <w:r w:rsidRPr="007108F1">
              <w:rPr>
                <w:rFonts w:ascii="Arial" w:hAnsi="Arial" w:cs="Arial"/>
                <w:b/>
              </w:rPr>
              <w:t xml:space="preserve">Website: </w:t>
            </w:r>
            <w:r w:rsidR="007108F1" w:rsidRPr="007108F1">
              <w:rPr>
                <w:rStyle w:val="markedcontent"/>
                <w:rFonts w:ascii="Arial" w:hAnsi="Arial" w:cs="Arial"/>
              </w:rPr>
              <w:t>www.OrtonGillinghamInternational.org</w:t>
            </w:r>
          </w:p>
        </w:tc>
      </w:tr>
      <w:tr w:rsidR="009A2EC3" w14:paraId="6322B22F" w14:textId="77777777" w:rsidTr="009A2EC3">
        <w:tc>
          <w:tcPr>
            <w:tcW w:w="10790" w:type="dxa"/>
          </w:tcPr>
          <w:p w14:paraId="5E0E3C0D" w14:textId="28A90B3B" w:rsidR="009A2EC3" w:rsidRPr="007108F1" w:rsidRDefault="009A2EC3" w:rsidP="009A2EC3">
            <w:pPr>
              <w:rPr>
                <w:rFonts w:ascii="Arial" w:hAnsi="Arial" w:cs="Arial"/>
              </w:rPr>
            </w:pPr>
            <w:r w:rsidRPr="007108F1">
              <w:rPr>
                <w:rFonts w:ascii="Arial" w:hAnsi="Arial" w:cs="Arial"/>
                <w:b/>
              </w:rPr>
              <w:t>Delivery Model:</w:t>
            </w:r>
            <w:r w:rsidRPr="007108F1">
              <w:rPr>
                <w:rFonts w:ascii="Arial" w:hAnsi="Arial" w:cs="Arial"/>
              </w:rPr>
              <w:t xml:space="preserve"> Face-to-Face </w:t>
            </w:r>
            <w:r w:rsidR="00200889" w:rsidRPr="007108F1">
              <w:rPr>
                <w:rFonts w:ascii="Arial" w:eastAsia="Calibri" w:hAnsi="Arial" w:cs="Arial"/>
              </w:rPr>
              <w:t>(in person or virtual-live, synchronous</w:t>
            </w:r>
            <w:r w:rsidR="007108F1">
              <w:rPr>
                <w:rFonts w:ascii="Arial" w:eastAsia="Calibri" w:hAnsi="Arial" w:cs="Arial"/>
              </w:rPr>
              <w:t>)</w:t>
            </w:r>
            <w:r w:rsidR="007108F1">
              <w:rPr>
                <w:rFonts w:ascii="Arial" w:hAnsi="Arial" w:cs="Arial"/>
              </w:rPr>
              <w:t xml:space="preserve"> </w:t>
            </w:r>
          </w:p>
        </w:tc>
      </w:tr>
      <w:tr w:rsidR="009A2EC3" w14:paraId="24C47025" w14:textId="77777777" w:rsidTr="009A2EC3">
        <w:tc>
          <w:tcPr>
            <w:tcW w:w="10790" w:type="dxa"/>
          </w:tcPr>
          <w:p w14:paraId="3F2FB877" w14:textId="19530A73" w:rsidR="009A2EC3" w:rsidRPr="007108F1" w:rsidRDefault="009A2EC3" w:rsidP="005F3706">
            <w:pPr>
              <w:rPr>
                <w:rFonts w:ascii="Arial" w:hAnsi="Arial" w:cs="Arial"/>
                <w:b/>
              </w:rPr>
            </w:pPr>
            <w:r w:rsidRPr="007108F1">
              <w:rPr>
                <w:rFonts w:ascii="Arial" w:hAnsi="Arial" w:cs="Arial"/>
                <w:b/>
              </w:rPr>
              <w:t xml:space="preserve">Audience: </w:t>
            </w:r>
            <w:r w:rsidRPr="007108F1">
              <w:rPr>
                <w:rFonts w:ascii="Arial" w:hAnsi="Arial" w:cs="Arial"/>
              </w:rPr>
              <w:t>Administrators</w:t>
            </w:r>
            <w:r w:rsidR="005F3706">
              <w:rPr>
                <w:rFonts w:ascii="Arial" w:hAnsi="Arial" w:cs="Arial"/>
              </w:rPr>
              <w:t>,</w:t>
            </w:r>
            <w:r w:rsidRPr="007108F1">
              <w:rPr>
                <w:rFonts w:ascii="Arial" w:hAnsi="Arial" w:cs="Arial"/>
              </w:rPr>
              <w:t xml:space="preserve"> Coaches</w:t>
            </w:r>
            <w:r w:rsidR="005F3706">
              <w:rPr>
                <w:rFonts w:ascii="Arial" w:hAnsi="Arial" w:cs="Arial"/>
              </w:rPr>
              <w:t xml:space="preserve">, </w:t>
            </w:r>
            <w:r w:rsidRPr="007108F1">
              <w:rPr>
                <w:rFonts w:ascii="Arial" w:hAnsi="Arial" w:cs="Arial"/>
              </w:rPr>
              <w:t>Teachers</w:t>
            </w:r>
            <w:r w:rsidR="005F3706">
              <w:rPr>
                <w:rFonts w:ascii="Arial" w:hAnsi="Arial" w:cs="Arial"/>
              </w:rPr>
              <w:t xml:space="preserve">, </w:t>
            </w:r>
            <w:r w:rsidRPr="007108F1">
              <w:rPr>
                <w:rFonts w:ascii="Arial" w:hAnsi="Arial" w:cs="Arial"/>
              </w:rPr>
              <w:t>Paraprofessionals</w:t>
            </w:r>
            <w:r w:rsidR="005F3706">
              <w:rPr>
                <w:rFonts w:ascii="Arial" w:hAnsi="Arial" w:cs="Arial"/>
              </w:rPr>
              <w:t xml:space="preserve">, </w:t>
            </w:r>
            <w:r w:rsidRPr="007108F1">
              <w:rPr>
                <w:rFonts w:ascii="Arial" w:hAnsi="Arial" w:cs="Arial"/>
              </w:rPr>
              <w:t>Tutors</w:t>
            </w:r>
            <w:r w:rsidR="005F3706">
              <w:rPr>
                <w:rFonts w:ascii="Arial" w:hAnsi="Arial" w:cs="Arial"/>
              </w:rPr>
              <w:t>,</w:t>
            </w:r>
            <w:r w:rsidR="005D202B">
              <w:rPr>
                <w:rFonts w:ascii="Arial" w:hAnsi="Arial" w:cs="Arial"/>
              </w:rPr>
              <w:t xml:space="preserve"> </w:t>
            </w:r>
            <w:r w:rsidRPr="007108F1">
              <w:rPr>
                <w:rFonts w:ascii="Arial" w:hAnsi="Arial" w:cs="Arial"/>
              </w:rPr>
              <w:t>Parents/Families</w:t>
            </w:r>
            <w:r w:rsidR="005F3706">
              <w:rPr>
                <w:rFonts w:ascii="Arial" w:hAnsi="Arial" w:cs="Arial"/>
              </w:rPr>
              <w:t xml:space="preserve">, </w:t>
            </w:r>
            <w:r w:rsidR="007108F1">
              <w:rPr>
                <w:rFonts w:ascii="Arial" w:hAnsi="Arial" w:cs="Arial"/>
              </w:rPr>
              <w:t>Other</w:t>
            </w:r>
            <w:r w:rsidR="005F3706">
              <w:rPr>
                <w:rFonts w:ascii="Arial" w:hAnsi="Arial" w:cs="Arial"/>
              </w:rPr>
              <w:t>:</w:t>
            </w:r>
            <w:r w:rsidR="007108F1">
              <w:rPr>
                <w:rFonts w:ascii="Arial" w:hAnsi="Arial" w:cs="Arial"/>
              </w:rPr>
              <w:t xml:space="preserve"> Speech Pathologists</w:t>
            </w:r>
          </w:p>
        </w:tc>
      </w:tr>
      <w:tr w:rsidR="009A2EC3" w14:paraId="661D637A" w14:textId="77777777" w:rsidTr="005F3706">
        <w:trPr>
          <w:trHeight w:val="9213"/>
        </w:trPr>
        <w:tc>
          <w:tcPr>
            <w:tcW w:w="10790" w:type="dxa"/>
          </w:tcPr>
          <w:p w14:paraId="14D8F1E3" w14:textId="77777777" w:rsidR="009A2EC3" w:rsidRPr="007108F1" w:rsidRDefault="009A2EC3" w:rsidP="009A2EC3">
            <w:pPr>
              <w:rPr>
                <w:rFonts w:ascii="Arial" w:hAnsi="Arial" w:cs="Arial"/>
                <w:b/>
              </w:rPr>
            </w:pPr>
            <w:r w:rsidRPr="007108F1">
              <w:rPr>
                <w:rFonts w:ascii="Arial" w:hAnsi="Arial" w:cs="Arial"/>
                <w:b/>
              </w:rPr>
              <w:t>Description of Professional Development:</w:t>
            </w:r>
          </w:p>
          <w:p w14:paraId="458975B3" w14:textId="77777777" w:rsidR="009A2EC3" w:rsidRPr="007108F1" w:rsidRDefault="009A2EC3" w:rsidP="009A2EC3">
            <w:pPr>
              <w:rPr>
                <w:rFonts w:ascii="Arial" w:hAnsi="Arial" w:cs="Arial"/>
                <w:bCs/>
              </w:rPr>
            </w:pPr>
          </w:p>
          <w:p w14:paraId="34C6D47E" w14:textId="5FA1F1CF" w:rsidR="00ED5ED7" w:rsidRDefault="00ED5ED7" w:rsidP="00ED5ED7">
            <w:r>
              <w:rPr>
                <w:color w:val="000000"/>
              </w:rPr>
              <w:t xml:space="preserve">This </w:t>
            </w:r>
            <w:r w:rsidR="00CD713B">
              <w:rPr>
                <w:color w:val="000000"/>
              </w:rPr>
              <w:t xml:space="preserve">Basic </w:t>
            </w:r>
            <w:r>
              <w:rPr>
                <w:color w:val="000000"/>
              </w:rPr>
              <w:t>Y-OGI c</w:t>
            </w:r>
            <w:r w:rsidR="00CD713B">
              <w:rPr>
                <w:color w:val="000000"/>
              </w:rPr>
              <w:t xml:space="preserve">ourse sets the foundation for </w:t>
            </w:r>
            <w:r>
              <w:rPr>
                <w:color w:val="000000"/>
              </w:rPr>
              <w:t>a</w:t>
            </w:r>
            <w:r w:rsidR="00CD713B">
              <w:rPr>
                <w:color w:val="000000"/>
              </w:rPr>
              <w:t xml:space="preserve"> </w:t>
            </w:r>
            <w:r w:rsidRPr="00E22862">
              <w:rPr>
                <w:rFonts w:ascii="Calibri" w:hAnsi="Calibri" w:cs="Calibri"/>
              </w:rPr>
              <w:t>research-based approach for teaching reading, writing, and spelling which is multisensory, phonetic, systemic, and structured. Participants</w:t>
            </w:r>
            <w:r w:rsidR="005D202B">
              <w:rPr>
                <w:rFonts w:ascii="Calibri" w:hAnsi="Calibri" w:cs="Calibri"/>
              </w:rPr>
              <w:t xml:space="preserve"> actively participate in each component of the learning and</w:t>
            </w:r>
            <w:r w:rsidRPr="00E22862">
              <w:rPr>
                <w:rFonts w:ascii="Calibri" w:hAnsi="Calibri" w:cs="Calibri"/>
              </w:rPr>
              <w:t xml:space="preserve"> will learn </w:t>
            </w:r>
            <w:r w:rsidR="005D202B">
              <w:rPr>
                <w:rFonts w:ascii="Calibri" w:hAnsi="Calibri" w:cs="Calibri"/>
              </w:rPr>
              <w:t>be able to use</w:t>
            </w:r>
            <w:r w:rsidRPr="00E22862">
              <w:rPr>
                <w:rFonts w:ascii="Calibri" w:hAnsi="Calibri" w:cs="Calibri"/>
              </w:rPr>
              <w:t xml:space="preserve"> this approach applicable for whole group, small group, and individual instruction incorporating phonological and phonemic awareness, scope and sequence for teaching sounds and syllables, phonetic generalizations, phonogram knowledge, blending, fluency, reading comprehension, spelling, handwriting,  vocabulary, lesson planning with specific procedures, differentiation and correction procedures, dyslexia and accommodations, English Language Learner (ELL) approaches, and the application of ethical teaching </w:t>
            </w:r>
            <w:r w:rsidRPr="00E22862">
              <w:rPr>
                <w:rFonts w:cstheme="minorHAnsi"/>
              </w:rPr>
              <w:t xml:space="preserve">standards.  </w:t>
            </w:r>
            <w:r w:rsidR="005D202B">
              <w:rPr>
                <w:rFonts w:cstheme="minorHAnsi"/>
              </w:rPr>
              <w:t xml:space="preserve">This course is presented in a best practice method – I do, we do, you do.  It is interactive and leaves participants with the tools and practice required to implement. </w:t>
            </w:r>
          </w:p>
          <w:p w14:paraId="14730D51" w14:textId="4AD2B652" w:rsidR="00ED5ED7" w:rsidRDefault="00ED5ED7" w:rsidP="00CD713B">
            <w:pPr>
              <w:pBdr>
                <w:top w:val="nil"/>
                <w:left w:val="nil"/>
                <w:bottom w:val="nil"/>
                <w:right w:val="nil"/>
                <w:between w:val="nil"/>
              </w:pBdr>
              <w:rPr>
                <w:color w:val="000000"/>
              </w:rPr>
            </w:pPr>
          </w:p>
          <w:p w14:paraId="3056498C" w14:textId="199BEB33" w:rsidR="00ED5ED7" w:rsidRDefault="00ED5ED7" w:rsidP="00ED5ED7">
            <w:pPr>
              <w:widowControl w:val="0"/>
            </w:pPr>
            <w:r>
              <w:t>The Y-OGI Basic course encompasses</w:t>
            </w:r>
            <w:r w:rsidR="005D202B">
              <w:t xml:space="preserve"> interactive, participatory </w:t>
            </w:r>
            <w:r>
              <w:t xml:space="preserve">five 8-hour days. Materials and daily learning goals are well-organized which enables presenters and participants to move smoothly between instructional/didactic activities and student engagement activities. Course pacing is intense but allows for </w:t>
            </w:r>
            <w:proofErr w:type="gramStart"/>
            <w:r>
              <w:t>an</w:t>
            </w:r>
            <w:proofErr w:type="gramEnd"/>
            <w:r>
              <w:t xml:space="preserve"> full spectrum of learning options with an emphasis on master teacher presentations and modeling, interactive discussions, lesson plan development, and simulated classroom or small group instruction.  </w:t>
            </w:r>
          </w:p>
          <w:p w14:paraId="171E6147" w14:textId="77777777" w:rsidR="00ED5ED7" w:rsidRDefault="00ED5ED7" w:rsidP="00ED5ED7">
            <w:pPr>
              <w:widowControl w:val="0"/>
            </w:pPr>
          </w:p>
          <w:p w14:paraId="311FFDAF" w14:textId="77777777" w:rsidR="00ED5ED7" w:rsidRDefault="00ED5ED7" w:rsidP="00ED5ED7">
            <w:pPr>
              <w:widowControl w:val="0"/>
            </w:pPr>
            <w:r>
              <w:t xml:space="preserve">Course content emphasizes knowledge acquisition as well as skill development. </w:t>
            </w:r>
            <w:r w:rsidRPr="00A02329">
              <w:t xml:space="preserve">Presenters model </w:t>
            </w:r>
            <w:proofErr w:type="gramStart"/>
            <w:r w:rsidRPr="00A02329">
              <w:t>each and every</w:t>
            </w:r>
            <w:proofErr w:type="gramEnd"/>
            <w:r w:rsidRPr="00A02329">
              <w:t xml:space="preserve"> component of the </w:t>
            </w:r>
            <w:r>
              <w:t>Y-OGI</w:t>
            </w:r>
            <w:r w:rsidRPr="00A02329">
              <w:t xml:space="preserve"> lesson demonstrating multisensory </w:t>
            </w:r>
            <w:r>
              <w:t>instruction and facilitating multisensory learning for the participants</w:t>
            </w:r>
            <w:r w:rsidRPr="00A02329">
              <w:t>.</w:t>
            </w:r>
            <w:r>
              <w:t xml:space="preserve"> As teacher participants learn the five components of literacy and the OGI method, they work cooperatively to design lesson plans. They then practice the multisensory techniques and components of their OGI lesson plan within their group. </w:t>
            </w:r>
            <w:r w:rsidRPr="00A02329">
              <w:t xml:space="preserve">All participants receive structured and corrective feedback by peers </w:t>
            </w:r>
            <w:r>
              <w:t xml:space="preserve">and the course facilitators </w:t>
            </w:r>
            <w:r w:rsidRPr="00A02329">
              <w:t xml:space="preserve">on their </w:t>
            </w:r>
            <w:r>
              <w:t>instructional simulations</w:t>
            </w:r>
            <w:r w:rsidRPr="00A02329">
              <w:t>.</w:t>
            </w:r>
            <w:r>
              <w:t xml:space="preserve"> </w:t>
            </w:r>
            <w:r w:rsidRPr="00ED5ED7">
              <w:t>Participants’</w:t>
            </w:r>
            <w:r w:rsidRPr="00A02329">
              <w:t xml:space="preserve"> pacing</w:t>
            </w:r>
            <w:r>
              <w:t xml:space="preserve"> and proficiency with Y-OGI approaches </w:t>
            </w:r>
            <w:r w:rsidRPr="00A02329">
              <w:t xml:space="preserve">improves over the course of the five days </w:t>
            </w:r>
            <w:r>
              <w:t>through</w:t>
            </w:r>
            <w:r w:rsidRPr="00A02329">
              <w:t xml:space="preserve"> the ongoing practice and corrective feedback.  </w:t>
            </w:r>
          </w:p>
          <w:p w14:paraId="790C05E0" w14:textId="3353E45D" w:rsidR="00ED5ED7" w:rsidRDefault="00ED5ED7" w:rsidP="00ED5ED7">
            <w:pPr>
              <w:widowControl w:val="0"/>
            </w:pPr>
          </w:p>
          <w:p w14:paraId="522810E8" w14:textId="6C3156EB" w:rsidR="009A2EC3" w:rsidRPr="00ED5ED7" w:rsidRDefault="00ED5ED7" w:rsidP="00ED5ED7">
            <w:pPr>
              <w:widowControl w:val="0"/>
            </w:pPr>
            <w:r>
              <w:t xml:space="preserve">All course components and </w:t>
            </w:r>
            <w:r w:rsidRPr="00A02329">
              <w:t xml:space="preserve">materials </w:t>
            </w:r>
            <w:r>
              <w:t>necessary for</w:t>
            </w:r>
            <w:r w:rsidRPr="00A02329">
              <w:t xml:space="preserve"> participants to learn the concepts in the Y-OGI approach are included in the course fee.  They are provided as hard copy and electronically via thumb drive. Participants keep </w:t>
            </w:r>
            <w:r>
              <w:t xml:space="preserve">all materials including </w:t>
            </w:r>
            <w:r w:rsidRPr="00A02329">
              <w:t xml:space="preserve">the thumb drive at the conclusion of the course facilitating Y-OGI </w:t>
            </w:r>
            <w:r>
              <w:t xml:space="preserve">review and classroom </w:t>
            </w:r>
            <w:r w:rsidRPr="00A02329">
              <w:t>implementation.</w:t>
            </w:r>
            <w:r>
              <w:t xml:space="preserve">  </w:t>
            </w:r>
            <w:r w:rsidRPr="00A02329">
              <w:t xml:space="preserve">On-going support via technology </w:t>
            </w:r>
            <w:r>
              <w:t>also is</w:t>
            </w:r>
            <w:r w:rsidRPr="00A02329">
              <w:t xml:space="preserve"> available after training is completed.</w:t>
            </w:r>
            <w:r>
              <w:t xml:space="preserve">  Participants who desire more in-depth support may take the OGI Practicum course which offers coaching and multiple options for submitting videoed lessons with mentor feedback.</w:t>
            </w:r>
          </w:p>
        </w:tc>
      </w:tr>
    </w:tbl>
    <w:p w14:paraId="386E472C" w14:textId="77777777" w:rsidR="005F3706" w:rsidRDefault="005F3706" w:rsidP="00B5546A">
      <w:pPr>
        <w:spacing w:after="0"/>
        <w:rPr>
          <w:b/>
          <w:bCs/>
          <w:sz w:val="24"/>
          <w:szCs w:val="24"/>
        </w:rPr>
      </w:pPr>
    </w:p>
    <w:p w14:paraId="0D6E7B58" w14:textId="19B0E9F8" w:rsidR="00CF62BA" w:rsidRPr="00CF62BA" w:rsidRDefault="005F3706" w:rsidP="005F3706">
      <w:pPr>
        <w:rPr>
          <w:b/>
          <w:bCs/>
          <w:sz w:val="24"/>
          <w:szCs w:val="24"/>
        </w:rPr>
      </w:pPr>
      <w:r>
        <w:rPr>
          <w:b/>
          <w:bCs/>
          <w:sz w:val="24"/>
          <w:szCs w:val="24"/>
        </w:rPr>
        <w:br w:type="page"/>
      </w:r>
      <w:r w:rsidR="00CF62BA" w:rsidRPr="00CF62BA">
        <w:rPr>
          <w:b/>
          <w:bCs/>
          <w:sz w:val="24"/>
          <w:szCs w:val="24"/>
        </w:rPr>
        <w:lastRenderedPageBreak/>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40AA240F" w:rsidR="00CF62BA" w:rsidRDefault="005F3706">
            <w:r>
              <w:t>Administration and Interpretation of Assessments, Phonics and Word Recognition Development, Fluency Development, Vocabulary Development, Text Comprehension Development, Structure of Language</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69F33" w14:textId="77777777" w:rsidR="00FB4231" w:rsidRDefault="00FB4231" w:rsidP="009A2EC3">
      <w:pPr>
        <w:spacing w:after="0" w:line="240" w:lineRule="auto"/>
      </w:pPr>
      <w:r>
        <w:separator/>
      </w:r>
    </w:p>
  </w:endnote>
  <w:endnote w:type="continuationSeparator" w:id="0">
    <w:p w14:paraId="1F32D7B4" w14:textId="77777777" w:rsidR="00FB4231" w:rsidRDefault="00FB423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2787" w14:textId="77777777" w:rsidR="00FB4231" w:rsidRDefault="00FB4231" w:rsidP="009A2EC3">
      <w:pPr>
        <w:spacing w:after="0" w:line="240" w:lineRule="auto"/>
      </w:pPr>
      <w:r>
        <w:separator/>
      </w:r>
    </w:p>
  </w:footnote>
  <w:footnote w:type="continuationSeparator" w:id="0">
    <w:p w14:paraId="6A1998EC" w14:textId="77777777" w:rsidR="00FB4231" w:rsidRDefault="00FB423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122338"/>
    <w:rsid w:val="00181CB1"/>
    <w:rsid w:val="001903EE"/>
    <w:rsid w:val="001B1F3F"/>
    <w:rsid w:val="00200889"/>
    <w:rsid w:val="004119F6"/>
    <w:rsid w:val="005D202B"/>
    <w:rsid w:val="005F1854"/>
    <w:rsid w:val="005F3706"/>
    <w:rsid w:val="00680009"/>
    <w:rsid w:val="006B6BD7"/>
    <w:rsid w:val="007108F1"/>
    <w:rsid w:val="00891E7E"/>
    <w:rsid w:val="0091782D"/>
    <w:rsid w:val="009A2EC3"/>
    <w:rsid w:val="00A1328E"/>
    <w:rsid w:val="00B5546A"/>
    <w:rsid w:val="00B87D71"/>
    <w:rsid w:val="00BC3B6A"/>
    <w:rsid w:val="00CD713B"/>
    <w:rsid w:val="00CF62BA"/>
    <w:rsid w:val="00E41A3C"/>
    <w:rsid w:val="00E66085"/>
    <w:rsid w:val="00ED5ED7"/>
    <w:rsid w:val="00F136CA"/>
    <w:rsid w:val="00FB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1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2021-08-05T19:28:00Z</dcterms:created>
  <dcterms:modified xsi:type="dcterms:W3CDTF">2021-08-05T19:28:00Z</dcterms:modified>
</cp:coreProperties>
</file>