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6EC59E68" w:rsidR="00D167BF" w:rsidRPr="00D167BF" w:rsidRDefault="00495265" w:rsidP="00D167BF">
      <w:pPr>
        <w:pStyle w:val="Heading2"/>
      </w:pPr>
      <w:r>
        <w:t>McGraw Hill, Open Court Reading, 2023</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228F48B">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6E2BA334" w:rsidR="009B3915" w:rsidRPr="00495265" w:rsidRDefault="009B3915" w:rsidP="009B3915">
      <w:pPr>
        <w:pStyle w:val="Text"/>
        <w:spacing w:after="0" w:line="240" w:lineRule="auto"/>
        <w:contextualSpacing/>
        <w:rPr>
          <w:lang w:val="en"/>
        </w:rPr>
      </w:pPr>
      <w:r w:rsidRPr="00B23895">
        <w:rPr>
          <w:b/>
          <w:bCs/>
          <w:lang w:val="en"/>
        </w:rPr>
        <w:t>Kindergarten</w:t>
      </w:r>
      <w:r>
        <w:rPr>
          <w:b/>
          <w:bCs/>
          <w:lang w:val="en"/>
        </w:rPr>
        <w:t xml:space="preserve">: </w:t>
      </w:r>
      <w:r w:rsidR="00495265">
        <w:rPr>
          <w:lang w:val="en"/>
        </w:rPr>
        <w:t>Meets Expectations</w:t>
      </w:r>
    </w:p>
    <w:p w14:paraId="4184856D" w14:textId="7BE58D23" w:rsidR="009B3915" w:rsidRPr="00E45DE0" w:rsidRDefault="009B3915" w:rsidP="009B3915">
      <w:pPr>
        <w:pStyle w:val="Text"/>
        <w:spacing w:after="0" w:line="240" w:lineRule="auto"/>
        <w:contextualSpacing/>
        <w:rPr>
          <w:lang w:val="en"/>
        </w:rPr>
      </w:pPr>
      <w:r w:rsidRPr="00B23895">
        <w:rPr>
          <w:b/>
          <w:bCs/>
          <w:lang w:val="en"/>
        </w:rPr>
        <w:t>First Grade</w:t>
      </w:r>
      <w:r>
        <w:rPr>
          <w:b/>
          <w:bCs/>
          <w:lang w:val="en"/>
        </w:rPr>
        <w:t>:</w:t>
      </w:r>
      <w:r w:rsidRPr="00C86D0E">
        <w:rPr>
          <w:lang w:val="en"/>
        </w:rPr>
        <w:t xml:space="preserve"> </w:t>
      </w:r>
      <w:r>
        <w:rPr>
          <w:lang w:val="en"/>
        </w:rPr>
        <w:t xml:space="preserve"> </w:t>
      </w:r>
      <w:r w:rsidR="00495265">
        <w:rPr>
          <w:lang w:val="en"/>
        </w:rPr>
        <w:t>Meets Expectations</w:t>
      </w:r>
    </w:p>
    <w:p w14:paraId="13FF7E1E" w14:textId="30647CDD"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495265">
        <w:rPr>
          <w:lang w:val="en"/>
        </w:rPr>
        <w:t>Meets Expectations</w:t>
      </w:r>
    </w:p>
    <w:p w14:paraId="4B95FE5E" w14:textId="1A16FB96"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495265">
        <w:rPr>
          <w:lang w:val="en"/>
        </w:rPr>
        <w:t>Meets Expectations</w:t>
      </w:r>
    </w:p>
    <w:p w14:paraId="544C4233" w14:textId="7EBE6009" w:rsidR="009B3915" w:rsidRDefault="009B3915" w:rsidP="009B3915">
      <w:pPr>
        <w:spacing w:after="0" w:line="240" w:lineRule="auto"/>
        <w:contextualSpacing/>
        <w:rPr>
          <w:lang w:val="en"/>
        </w:rPr>
      </w:pPr>
      <w:r w:rsidRPr="00B23895">
        <w:rPr>
          <w:b/>
          <w:bCs/>
          <w:lang w:val="en"/>
        </w:rPr>
        <w:t>Usability:</w:t>
      </w:r>
      <w:r>
        <w:rPr>
          <w:lang w:val="en"/>
        </w:rPr>
        <w:t xml:space="preserve"> </w:t>
      </w:r>
      <w:r w:rsidR="00495265">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127908F4"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191D0E">
        <w:rPr>
          <w:color w:val="000000"/>
        </w:rPr>
        <w:t>McGraw Hill</w:t>
      </w:r>
      <w:r>
        <w:rPr>
          <w:b/>
          <w:bCs/>
          <w:color w:val="000000"/>
        </w:rPr>
        <w:tab/>
      </w:r>
    </w:p>
    <w:p w14:paraId="62784BF8" w14:textId="4BFFE970" w:rsidR="009B3915" w:rsidRPr="00191D0E" w:rsidRDefault="009B3915" w:rsidP="009B3915">
      <w:pPr>
        <w:pStyle w:val="Text"/>
        <w:rPr>
          <w:color w:val="000000"/>
        </w:rPr>
      </w:pPr>
      <w:bookmarkStart w:id="0" w:name="_Hlk41919839"/>
      <w:r w:rsidRPr="00241BBF">
        <w:rPr>
          <w:b/>
          <w:bCs/>
          <w:color w:val="000000"/>
        </w:rPr>
        <w:t xml:space="preserve">Publication year (or edition): </w:t>
      </w:r>
      <w:r w:rsidR="00191D0E">
        <w:rPr>
          <w:color w:val="000000"/>
        </w:rPr>
        <w:t>2023</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21153385" w:rsidR="009B3915" w:rsidRPr="00241BBF" w:rsidRDefault="009B3915" w:rsidP="009B3915">
      <w:pPr>
        <w:pStyle w:val="Text"/>
        <w:ind w:left="720"/>
        <w:rPr>
          <w:b/>
          <w:bCs/>
          <w:color w:val="000000"/>
        </w:rPr>
      </w:pPr>
      <w:r w:rsidRPr="00241BBF">
        <w:rPr>
          <w:b/>
          <w:bCs/>
          <w:color w:val="000000"/>
        </w:rPr>
        <w:t xml:space="preserve">Name: </w:t>
      </w:r>
      <w:r w:rsidR="00191D0E" w:rsidRPr="00191D0E">
        <w:rPr>
          <w:color w:val="000000"/>
        </w:rPr>
        <w:t>Jennifer Moore</w:t>
      </w:r>
    </w:p>
    <w:p w14:paraId="356F3753" w14:textId="4281F656" w:rsidR="009B3915" w:rsidRPr="00241BBF" w:rsidRDefault="009B3915" w:rsidP="009B3915">
      <w:pPr>
        <w:pStyle w:val="Text"/>
        <w:ind w:left="720"/>
        <w:rPr>
          <w:b/>
          <w:bCs/>
          <w:color w:val="000000"/>
        </w:rPr>
      </w:pPr>
      <w:r w:rsidRPr="00241BBF">
        <w:rPr>
          <w:b/>
          <w:bCs/>
          <w:color w:val="000000"/>
        </w:rPr>
        <w:t xml:space="preserve">Role: </w:t>
      </w:r>
      <w:r w:rsidR="00191D0E" w:rsidRPr="00191D0E">
        <w:rPr>
          <w:color w:val="000000"/>
        </w:rPr>
        <w:t>Sr. Account Executive</w:t>
      </w:r>
    </w:p>
    <w:p w14:paraId="06AA308B" w14:textId="70A2E851" w:rsidR="009B3915" w:rsidRPr="00241BBF" w:rsidRDefault="009B3915" w:rsidP="009B3915">
      <w:pPr>
        <w:pStyle w:val="Text"/>
        <w:ind w:left="720"/>
        <w:rPr>
          <w:b/>
          <w:bCs/>
          <w:color w:val="000000"/>
        </w:rPr>
      </w:pPr>
      <w:r w:rsidRPr="00241BBF">
        <w:rPr>
          <w:b/>
          <w:bCs/>
          <w:color w:val="000000"/>
        </w:rPr>
        <w:t xml:space="preserve">Address: </w:t>
      </w:r>
      <w:r w:rsidR="00191D0E" w:rsidRPr="00191D0E">
        <w:rPr>
          <w:color w:val="000000"/>
        </w:rPr>
        <w:t>8787 Orion Place, Columbus OH 43240</w:t>
      </w:r>
    </w:p>
    <w:p w14:paraId="4A14F041" w14:textId="1E70617D" w:rsidR="009B3915" w:rsidRPr="00191D0E" w:rsidRDefault="009B3915" w:rsidP="009B3915">
      <w:pPr>
        <w:pStyle w:val="Text"/>
        <w:ind w:left="720"/>
        <w:rPr>
          <w:color w:val="000000"/>
        </w:rPr>
      </w:pPr>
      <w:r w:rsidRPr="00241BBF">
        <w:rPr>
          <w:b/>
          <w:bCs/>
          <w:color w:val="000000"/>
        </w:rPr>
        <w:t xml:space="preserve">Number: </w:t>
      </w:r>
      <w:r w:rsidR="00191D0E">
        <w:rPr>
          <w:color w:val="000000"/>
        </w:rPr>
        <w:t>720-403-3213</w:t>
      </w:r>
    </w:p>
    <w:p w14:paraId="2051CA74" w14:textId="0A8D1BC2" w:rsidR="009B3915" w:rsidRDefault="009B3915" w:rsidP="009B3915">
      <w:pPr>
        <w:pStyle w:val="Text"/>
        <w:ind w:left="720"/>
        <w:rPr>
          <w:color w:val="000000"/>
        </w:rPr>
      </w:pPr>
      <w:r w:rsidRPr="00241BBF">
        <w:rPr>
          <w:b/>
          <w:bCs/>
          <w:color w:val="000000"/>
        </w:rPr>
        <w:t xml:space="preserve">Email: </w:t>
      </w:r>
      <w:r w:rsidR="00FA3A50" w:rsidRPr="00FA3A50">
        <w:rPr>
          <w:color w:val="000000"/>
        </w:rPr>
        <w:t>Jennifer.moore@mheducation.com</w:t>
      </w:r>
    </w:p>
    <w:p w14:paraId="7CD079A3" w14:textId="0EF16FE3" w:rsidR="009B3915" w:rsidRPr="00241BBF" w:rsidRDefault="009B3915" w:rsidP="009B3915">
      <w:pPr>
        <w:pStyle w:val="Text"/>
        <w:ind w:left="720"/>
        <w:rPr>
          <w:b/>
          <w:bCs/>
          <w:color w:val="000000"/>
        </w:rPr>
      </w:pPr>
      <w:r>
        <w:rPr>
          <w:b/>
          <w:bCs/>
          <w:color w:val="000000"/>
        </w:rPr>
        <w:t xml:space="preserve">Website: </w:t>
      </w:r>
      <w:hyperlink r:id="rId10" w:history="1">
        <w:r w:rsidR="006C6ABD" w:rsidRPr="00EF2526">
          <w:rPr>
            <w:rStyle w:val="Hyperlink"/>
          </w:rPr>
          <w:t>opencourtreading.com</w:t>
        </w:r>
      </w:hyperlink>
    </w:p>
    <w:p w14:paraId="64D75694" w14:textId="77777777" w:rsidR="009B3915" w:rsidRDefault="009B3915" w:rsidP="009B3915">
      <w:pPr>
        <w:pStyle w:val="Text"/>
        <w:rPr>
          <w:b/>
          <w:bCs/>
          <w:color w:val="000000"/>
        </w:rPr>
      </w:pPr>
      <w:r w:rsidRPr="00241BBF">
        <w:rPr>
          <w:b/>
          <w:bCs/>
          <w:color w:val="000000"/>
        </w:rPr>
        <w:t>Vendor provided summary:</w:t>
      </w:r>
    </w:p>
    <w:p w14:paraId="38662D3D" w14:textId="77777777" w:rsidR="0003163F" w:rsidRDefault="0003163F" w:rsidP="0003163F">
      <w:pPr>
        <w:ind w:right="720"/>
        <w:rPr>
          <w:color w:val="000000"/>
        </w:rPr>
      </w:pPr>
      <w:r w:rsidRPr="006C218E">
        <w:rPr>
          <w:color w:val="000000"/>
        </w:rPr>
        <w:t>Grounded in decades of literacy research and a proven history of efficacy in the classroom</w:t>
      </w:r>
      <w:r w:rsidRPr="006C218E">
        <w:rPr>
          <w:i/>
          <w:iCs/>
          <w:color w:val="000000"/>
        </w:rPr>
        <w:t>, SRA Open Court Reading</w:t>
      </w:r>
      <w:r w:rsidRPr="006C218E">
        <w:rPr>
          <w:color w:val="000000"/>
        </w:rPr>
        <w:t xml:space="preserve"> has been building strong readers, writers, </w:t>
      </w:r>
      <w:r w:rsidRPr="006C218E">
        <w:rPr>
          <w:color w:val="000000"/>
        </w:rPr>
        <w:lastRenderedPageBreak/>
        <w:t xml:space="preserve">and thinkers for more than 60 years. The instruction in </w:t>
      </w:r>
      <w:r w:rsidRPr="006C218E">
        <w:rPr>
          <w:i/>
          <w:iCs/>
          <w:color w:val="000000"/>
        </w:rPr>
        <w:t xml:space="preserve">Open Court Reading </w:t>
      </w:r>
      <w:r w:rsidRPr="006C218E">
        <w:rPr>
          <w:color w:val="000000"/>
        </w:rPr>
        <w:t xml:space="preserve">is based upon the findings from learning theory and cognitive science, also known as the Science of Reading. The program’s approach to instruction and carefully crafted instructional plan has been proven to achieve reading gains in a diverse range of readers from beginning level to fluent.  </w:t>
      </w:r>
    </w:p>
    <w:p w14:paraId="42E252A7" w14:textId="77777777" w:rsidR="0003163F" w:rsidRDefault="0003163F" w:rsidP="0003163F">
      <w:pPr>
        <w:ind w:right="720"/>
        <w:rPr>
          <w:color w:val="000000"/>
        </w:rPr>
      </w:pPr>
      <w:r>
        <w:rPr>
          <w:color w:val="000000"/>
        </w:rPr>
        <w:t xml:space="preserve">The </w:t>
      </w:r>
      <w:r w:rsidRPr="006C218E">
        <w:rPr>
          <w:i/>
          <w:iCs/>
          <w:color w:val="000000"/>
        </w:rPr>
        <w:t>Open Court Reading</w:t>
      </w:r>
      <w:r>
        <w:rPr>
          <w:color w:val="000000"/>
        </w:rPr>
        <w:t xml:space="preserve"> English Language Arts curriculum is based upon the purposeful progression of skill instruction within three strands of instruction: Foundational Skills, Reading and Responding, and Language Arts. Foundational Skills focus on oral language, phonological and phonemic awareness, phonics, decoding, encoding, fluency, and word analysis.  Reading and Responding addresses comprehension, vocabulary, knowledge building, and inquiry through close reading of complex texts. Language Arts covers the writing process, penmanship, grammar, word usage, and the mechanics of writing. All three instructional strands are supported at point of use with differentiated resources for English Learners and students at all ability levels.</w:t>
      </w:r>
    </w:p>
    <w:p w14:paraId="7F89B42B" w14:textId="77777777" w:rsidR="0003163F" w:rsidRDefault="0003163F" w:rsidP="0003163F">
      <w:pPr>
        <w:ind w:right="720"/>
      </w:pPr>
      <w:r>
        <w:t xml:space="preserve">Teacher Editions provide a clear blueprint for weekly and daily instruction and a straightforward lesson design of the three strands. Teacher tools and student materials such as sound/spelling cards, decodable books, workbooks, anthologies, and writer’s workbooks are connected to and specified within each lesson in the Teacher Edition. </w:t>
      </w:r>
    </w:p>
    <w:p w14:paraId="60D1DE37" w14:textId="77777777" w:rsidR="0003163F" w:rsidRDefault="0003163F" w:rsidP="0003163F">
      <w:pPr>
        <w:ind w:right="720"/>
      </w:pPr>
      <w:r>
        <w:t>The Lesson and Unit Assessments and Benchmark Assessments help teachers measure students’ understanding of the instructional content and use the results to inform and differentiate instruction, especially for students needing some type of intervention to ensure they will not be at risk for reading failure.</w:t>
      </w:r>
    </w:p>
    <w:p w14:paraId="6E46C2EA" w14:textId="77777777" w:rsidR="0003163F" w:rsidRPr="002A1292" w:rsidRDefault="0003163F" w:rsidP="0003163F">
      <w:pPr>
        <w:ind w:right="720"/>
        <w:rPr>
          <w:b/>
          <w:bCs/>
          <w:color w:val="000000"/>
          <w:sz w:val="24"/>
          <w:szCs w:val="24"/>
        </w:rPr>
      </w:pPr>
      <w:r w:rsidRPr="007E0C7D">
        <w:rPr>
          <w:i/>
          <w:iCs/>
        </w:rPr>
        <w:t>Open Court Reading</w:t>
      </w:r>
      <w:r>
        <w:t xml:space="preserve"> continues to evolve in response to new technology, teacher feedback, and the latest relevant research. Forthcoming program enhancements include an oral reading fluency tool and a differentiation guide for small group skill instruction.  The continued refinement of </w:t>
      </w:r>
      <w:r w:rsidRPr="00921393">
        <w:rPr>
          <w:i/>
          <w:iCs/>
        </w:rPr>
        <w:t>Open Court Reading</w:t>
      </w:r>
      <w:r>
        <w:t xml:space="preserve"> empowers all teachers to make research actionable and all students to become successful readers.</w:t>
      </w:r>
    </w:p>
    <w:sectPr w:rsidR="0003163F" w:rsidRPr="002A1292" w:rsidSect="00431BA8">
      <w:headerReference w:type="default" r:id="rId11"/>
      <w:headerReference w:type="first" r:id="rId1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8F04" w14:textId="77777777" w:rsidR="0071158B" w:rsidRDefault="0071158B" w:rsidP="00D167BF">
      <w:pPr>
        <w:spacing w:after="0" w:line="240" w:lineRule="auto"/>
      </w:pPr>
      <w:r>
        <w:separator/>
      </w:r>
    </w:p>
  </w:endnote>
  <w:endnote w:type="continuationSeparator" w:id="0">
    <w:p w14:paraId="3263245E" w14:textId="77777777" w:rsidR="0071158B" w:rsidRDefault="0071158B"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1E5C" w14:textId="77777777" w:rsidR="0071158B" w:rsidRDefault="0071158B" w:rsidP="00D167BF">
      <w:pPr>
        <w:spacing w:after="0" w:line="240" w:lineRule="auto"/>
      </w:pPr>
      <w:r>
        <w:separator/>
      </w:r>
    </w:p>
  </w:footnote>
  <w:footnote w:type="continuationSeparator" w:id="0">
    <w:p w14:paraId="727582F3" w14:textId="77777777" w:rsidR="0071158B" w:rsidRDefault="0071158B"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090AA72B">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1ED25E25" w:rsidR="00431BA8" w:rsidRDefault="009B3915">
    <w:pPr>
      <w:pStyle w:val="Header"/>
    </w:pPr>
    <w:r>
      <w:t>Core Program Summary</w:t>
    </w:r>
    <w:r w:rsidR="0050220A">
      <w:t>-</w:t>
    </w:r>
    <w:r w:rsidR="00C3189F">
      <w:t>Open Court Reading 2023</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78BBC4A1">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EAAF212"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00F6A465">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McGraw Hill Open Court Reading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McGraw Hill Open Court Reading 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163F"/>
    <w:rsid w:val="00033BB1"/>
    <w:rsid w:val="00052B92"/>
    <w:rsid w:val="000F6114"/>
    <w:rsid w:val="0013025E"/>
    <w:rsid w:val="00191D0E"/>
    <w:rsid w:val="001E41BB"/>
    <w:rsid w:val="00274D07"/>
    <w:rsid w:val="002D3E62"/>
    <w:rsid w:val="00321A24"/>
    <w:rsid w:val="00431BA8"/>
    <w:rsid w:val="004433C7"/>
    <w:rsid w:val="004752A9"/>
    <w:rsid w:val="00495265"/>
    <w:rsid w:val="00501B31"/>
    <w:rsid w:val="0050220A"/>
    <w:rsid w:val="00535F3A"/>
    <w:rsid w:val="005877F1"/>
    <w:rsid w:val="005E76C9"/>
    <w:rsid w:val="0060452F"/>
    <w:rsid w:val="0064241A"/>
    <w:rsid w:val="006879FC"/>
    <w:rsid w:val="0069309A"/>
    <w:rsid w:val="006A3AD3"/>
    <w:rsid w:val="006C6ABD"/>
    <w:rsid w:val="0070646C"/>
    <w:rsid w:val="0071158B"/>
    <w:rsid w:val="0077233D"/>
    <w:rsid w:val="007866B4"/>
    <w:rsid w:val="00805867"/>
    <w:rsid w:val="0086052E"/>
    <w:rsid w:val="00863B2A"/>
    <w:rsid w:val="00996ADB"/>
    <w:rsid w:val="009B3915"/>
    <w:rsid w:val="009D3557"/>
    <w:rsid w:val="00A15A0B"/>
    <w:rsid w:val="00A37AE5"/>
    <w:rsid w:val="00AA4C44"/>
    <w:rsid w:val="00B10FA8"/>
    <w:rsid w:val="00B13F91"/>
    <w:rsid w:val="00B97B79"/>
    <w:rsid w:val="00BD2C14"/>
    <w:rsid w:val="00C3189F"/>
    <w:rsid w:val="00C426F9"/>
    <w:rsid w:val="00C93292"/>
    <w:rsid w:val="00CD18A2"/>
    <w:rsid w:val="00D167BF"/>
    <w:rsid w:val="00D41CDA"/>
    <w:rsid w:val="00D55DD1"/>
    <w:rsid w:val="00DE123D"/>
    <w:rsid w:val="00DE7B5D"/>
    <w:rsid w:val="00E8179F"/>
    <w:rsid w:val="00F8163B"/>
    <w:rsid w:val="00F860D7"/>
    <w:rsid w:val="00F952CB"/>
    <w:rsid w:val="00FA3A50"/>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FollowedHyperlink">
    <w:name w:val="FollowedHyperlink"/>
    <w:basedOn w:val="DefaultParagraphFont"/>
    <w:uiPriority w:val="99"/>
    <w:semiHidden/>
    <w:unhideWhenUsed/>
    <w:rsid w:val="00321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education.com/prek-12/program/microsites/MKTSP-THA19M01.html"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13</cp:revision>
  <dcterms:created xsi:type="dcterms:W3CDTF">2024-02-15T18:35:00Z</dcterms:created>
  <dcterms:modified xsi:type="dcterms:W3CDTF">2024-03-14T22:27:00Z</dcterms:modified>
</cp:coreProperties>
</file>