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49929" w14:textId="77777777" w:rsidR="0086052E" w:rsidRDefault="006F0C5D" w:rsidP="00B97B79">
      <w:pPr>
        <w:pStyle w:val="Heading1"/>
      </w:pPr>
      <w:bookmarkStart w:id="0" w:name="_GoBack"/>
      <w:bookmarkEnd w:id="0"/>
      <w:r>
        <w:t>Core Program Summary</w:t>
      </w:r>
    </w:p>
    <w:p w14:paraId="01C46342" w14:textId="3DFC6D28" w:rsidR="00D167BF" w:rsidRPr="00D167BF" w:rsidRDefault="00D82CFD" w:rsidP="00D167BF">
      <w:pPr>
        <w:pStyle w:val="Heading2"/>
      </w:pPr>
      <w:r>
        <w:t>Into Reading</w:t>
      </w:r>
    </w:p>
    <w:p w14:paraId="662098A4" w14:textId="5C836890" w:rsidR="00D167BF" w:rsidRPr="00523043" w:rsidRDefault="00EA175C" w:rsidP="00D167BF">
      <w:pPr>
        <w:pStyle w:val="Heading3"/>
        <w:rPr>
          <w:color w:val="FFFF00"/>
        </w:rPr>
      </w:pPr>
      <w:r>
        <w:rPr>
          <w:noProof/>
        </w:rPr>
        <mc:AlternateContent>
          <mc:Choice Requires="wps">
            <w:drawing>
              <wp:anchor distT="45720" distB="45720" distL="114300" distR="114300" simplePos="0" relativeHeight="251657216" behindDoc="0" locked="0" layoutInCell="1" allowOverlap="1" wp14:anchorId="72118728" wp14:editId="1D9E49D6">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61597E5E" w14:textId="77777777" w:rsidR="00187333" w:rsidRDefault="00187333" w:rsidP="0013025E">
                            <w:pPr>
                              <w:pStyle w:val="Page01-Side-bar-navy"/>
                              <w:rPr>
                                <w:b/>
                              </w:rPr>
                            </w:pPr>
                            <w:r>
                              <w:rPr>
                                <w:b/>
                              </w:rPr>
                              <w:t>This program was approved for use in:</w:t>
                            </w:r>
                          </w:p>
                          <w:p w14:paraId="4151D768" w14:textId="77777777" w:rsidR="00187333" w:rsidRPr="00187333" w:rsidRDefault="00187333" w:rsidP="00187333">
                            <w:pPr>
                              <w:pStyle w:val="Page01-Side-bar-navy"/>
                              <w:numPr>
                                <w:ilvl w:val="0"/>
                                <w:numId w:val="2"/>
                              </w:numPr>
                              <w:rPr>
                                <w:b/>
                              </w:rPr>
                            </w:pPr>
                            <w:r w:rsidRPr="00187333">
                              <w:rPr>
                                <w:b/>
                              </w:rPr>
                              <w:t>Kindergarten</w:t>
                            </w:r>
                          </w:p>
                          <w:p w14:paraId="7BC182E6" w14:textId="77777777" w:rsidR="00187333" w:rsidRPr="00187333" w:rsidRDefault="00187333" w:rsidP="00187333">
                            <w:pPr>
                              <w:pStyle w:val="Page01-Side-bar-navy"/>
                              <w:numPr>
                                <w:ilvl w:val="0"/>
                                <w:numId w:val="2"/>
                              </w:numPr>
                              <w:rPr>
                                <w:b/>
                              </w:rPr>
                            </w:pPr>
                            <w:r w:rsidRPr="00187333">
                              <w:rPr>
                                <w:b/>
                              </w:rPr>
                              <w:t>First Grade</w:t>
                            </w:r>
                          </w:p>
                          <w:p w14:paraId="49C7B4C1" w14:textId="77777777" w:rsidR="00187333" w:rsidRPr="00187333" w:rsidRDefault="00187333" w:rsidP="00187333">
                            <w:pPr>
                              <w:pStyle w:val="Page01-Side-bar-navy"/>
                              <w:numPr>
                                <w:ilvl w:val="0"/>
                                <w:numId w:val="2"/>
                              </w:numPr>
                              <w:rPr>
                                <w:b/>
                              </w:rPr>
                            </w:pPr>
                            <w:r w:rsidRPr="00187333">
                              <w:rPr>
                                <w:b/>
                              </w:rPr>
                              <w:t>Second Grade</w:t>
                            </w:r>
                          </w:p>
                          <w:p w14:paraId="0D6E2C0E" w14:textId="4B4C801E" w:rsidR="00187333" w:rsidRDefault="00187333" w:rsidP="00187333">
                            <w:pPr>
                              <w:pStyle w:val="Page01-Side-bar-navy"/>
                              <w:numPr>
                                <w:ilvl w:val="0"/>
                                <w:numId w:val="2"/>
                              </w:numPr>
                              <w:rPr>
                                <w:b/>
                              </w:rPr>
                            </w:pPr>
                            <w:r w:rsidRPr="00187333">
                              <w:rPr>
                                <w:b/>
                              </w:rPr>
                              <w:t>Third Grade</w:t>
                            </w:r>
                          </w:p>
                          <w:p w14:paraId="50DBDCA2" w14:textId="77777777" w:rsidR="00426C42" w:rsidRPr="00187333" w:rsidRDefault="00426C42" w:rsidP="00426C42">
                            <w:pPr>
                              <w:pStyle w:val="Page01-Side-bar-navy"/>
                              <w:ind w:left="720"/>
                              <w:rPr>
                                <w:b/>
                              </w:rPr>
                            </w:pPr>
                          </w:p>
                          <w:p w14:paraId="569CC3B1"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570C3664"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0A8F730C"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Calzadillas at Calzadillas_m@cde.state.co.us. </w:t>
                            </w:r>
                          </w:p>
                          <w:p w14:paraId="3C3D493C" w14:textId="77777777" w:rsidR="00187333" w:rsidRPr="00187333" w:rsidRDefault="00187333" w:rsidP="00B07A12">
                            <w:pPr>
                              <w:pStyle w:val="Page01-Side-bar-navy"/>
                              <w:rPr>
                                <w:bCs/>
                              </w:rPr>
                            </w:pP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18728"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" strokecolor="#d0d2d3">
                <v:textbox inset="14.4pt,14.4pt,14.4pt,0">
                  <w:txbxContent>
                    <w:p w14:paraId="61597E5E" w14:textId="77777777" w:rsidR="00187333" w:rsidRDefault="00187333" w:rsidP="0013025E">
                      <w:pPr>
                        <w:pStyle w:val="Page01-Side-bar-navy"/>
                        <w:rPr>
                          <w:b/>
                        </w:rPr>
                      </w:pPr>
                      <w:r>
                        <w:rPr>
                          <w:b/>
                        </w:rPr>
                        <w:t>This program was approved for use in:</w:t>
                      </w:r>
                    </w:p>
                    <w:p w14:paraId="4151D768" w14:textId="77777777" w:rsidR="00187333" w:rsidRPr="00187333" w:rsidRDefault="00187333" w:rsidP="00187333">
                      <w:pPr>
                        <w:pStyle w:val="Page01-Side-bar-navy"/>
                        <w:numPr>
                          <w:ilvl w:val="0"/>
                          <w:numId w:val="2"/>
                        </w:numPr>
                        <w:rPr>
                          <w:b/>
                        </w:rPr>
                      </w:pPr>
                      <w:r w:rsidRPr="00187333">
                        <w:rPr>
                          <w:b/>
                        </w:rPr>
                        <w:t>Kindergarten</w:t>
                      </w:r>
                    </w:p>
                    <w:p w14:paraId="7BC182E6" w14:textId="77777777" w:rsidR="00187333" w:rsidRPr="00187333" w:rsidRDefault="00187333" w:rsidP="00187333">
                      <w:pPr>
                        <w:pStyle w:val="Page01-Side-bar-navy"/>
                        <w:numPr>
                          <w:ilvl w:val="0"/>
                          <w:numId w:val="2"/>
                        </w:numPr>
                        <w:rPr>
                          <w:b/>
                        </w:rPr>
                      </w:pPr>
                      <w:r w:rsidRPr="00187333">
                        <w:rPr>
                          <w:b/>
                        </w:rPr>
                        <w:t>First Grade</w:t>
                      </w:r>
                    </w:p>
                    <w:p w14:paraId="49C7B4C1" w14:textId="77777777" w:rsidR="00187333" w:rsidRPr="00187333" w:rsidRDefault="00187333" w:rsidP="00187333">
                      <w:pPr>
                        <w:pStyle w:val="Page01-Side-bar-navy"/>
                        <w:numPr>
                          <w:ilvl w:val="0"/>
                          <w:numId w:val="2"/>
                        </w:numPr>
                        <w:rPr>
                          <w:b/>
                        </w:rPr>
                      </w:pPr>
                      <w:r w:rsidRPr="00187333">
                        <w:rPr>
                          <w:b/>
                        </w:rPr>
                        <w:t>Second Grade</w:t>
                      </w:r>
                    </w:p>
                    <w:p w14:paraId="0D6E2C0E" w14:textId="4B4C801E" w:rsidR="00187333" w:rsidRDefault="00187333" w:rsidP="00187333">
                      <w:pPr>
                        <w:pStyle w:val="Page01-Side-bar-navy"/>
                        <w:numPr>
                          <w:ilvl w:val="0"/>
                          <w:numId w:val="2"/>
                        </w:numPr>
                        <w:rPr>
                          <w:b/>
                        </w:rPr>
                      </w:pPr>
                      <w:r w:rsidRPr="00187333">
                        <w:rPr>
                          <w:b/>
                        </w:rPr>
                        <w:t>Third Grade</w:t>
                      </w:r>
                    </w:p>
                    <w:p w14:paraId="50DBDCA2" w14:textId="77777777" w:rsidR="00426C42" w:rsidRPr="00187333" w:rsidRDefault="00426C42" w:rsidP="00426C42">
                      <w:pPr>
                        <w:pStyle w:val="Page01-Side-bar-navy"/>
                        <w:ind w:left="720"/>
                        <w:rPr>
                          <w:b/>
                        </w:rPr>
                      </w:pPr>
                    </w:p>
                    <w:p w14:paraId="569CC3B1"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570C3664"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0A8F730C"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Calzadillas at Calzadillas_m@cde.state.co.us. </w:t>
                      </w:r>
                    </w:p>
                    <w:p w14:paraId="3C3D493C" w14:textId="77777777" w:rsidR="00187333" w:rsidRPr="00187333" w:rsidRDefault="00187333" w:rsidP="00B07A12">
                      <w:pPr>
                        <w:pStyle w:val="Page01-Side-bar-navy"/>
                        <w:rPr>
                          <w:bCs/>
                        </w:rPr>
                      </w:pPr>
                    </w:p>
                  </w:txbxContent>
                </v:textbox>
                <w10:wrap type="square"/>
              </v:shape>
            </w:pict>
          </mc:Fallback>
        </mc:AlternateContent>
      </w:r>
      <w:r w:rsidR="006F0C5D">
        <w:t>Information</w:t>
      </w:r>
    </w:p>
    <w:p w14:paraId="0B8CB83B" w14:textId="77777777" w:rsidR="006F0C5D" w:rsidRDefault="006F0C5D" w:rsidP="006F0C5D">
      <w:pPr>
        <w:rPr>
          <w:lang w:val="en"/>
        </w:rPr>
      </w:pPr>
      <w:r>
        <w:rPr>
          <w:lang w:val="en"/>
        </w:rPr>
        <w:t>The Colorado Reading to Ensure Academic Development Act (READ Act), passed by the Colorado legislature in 2012, focuses on early literacy development for all students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27849989" w14:textId="2502D245" w:rsidR="00E87C8C" w:rsidRDefault="006F0C5D" w:rsidP="00E87C8C">
      <w:pPr>
        <w:pBdr>
          <w:bottom w:val="single" w:sz="12" w:space="11" w:color="44546A" w:themeColor="text2"/>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61B3B7BD" w14:textId="77777777" w:rsidR="00B23895" w:rsidRPr="00B23895" w:rsidRDefault="00B23895" w:rsidP="00B23895">
      <w:pPr>
        <w:pStyle w:val="Heading3"/>
      </w:pPr>
      <w:r>
        <w:t xml:space="preserve">CDE Core Program Rating Summary </w:t>
      </w:r>
    </w:p>
    <w:p w14:paraId="469CAE05" w14:textId="7C4624D8" w:rsidR="00B23895" w:rsidRDefault="00B23895" w:rsidP="00D82CFD">
      <w:pPr>
        <w:pStyle w:val="Text"/>
        <w:spacing w:after="0" w:line="240" w:lineRule="auto"/>
        <w:rPr>
          <w:lang w:val="en"/>
        </w:rPr>
      </w:pPr>
      <w:r w:rsidRPr="00B23895">
        <w:rPr>
          <w:b/>
          <w:bCs/>
          <w:lang w:val="en"/>
        </w:rPr>
        <w:t>Kindergarten</w:t>
      </w:r>
      <w:r>
        <w:rPr>
          <w:b/>
          <w:bCs/>
          <w:lang w:val="en"/>
        </w:rPr>
        <w:t xml:space="preserve">: </w:t>
      </w:r>
      <w:r w:rsidRPr="000520B8">
        <w:rPr>
          <w:lang w:val="en"/>
        </w:rPr>
        <w:t>Me</w:t>
      </w:r>
      <w:r w:rsidR="00A57CD3">
        <w:rPr>
          <w:lang w:val="en"/>
        </w:rPr>
        <w:t>e</w:t>
      </w:r>
      <w:r w:rsidRPr="000520B8">
        <w:rPr>
          <w:lang w:val="en"/>
        </w:rPr>
        <w:t>t</w:t>
      </w:r>
      <w:r w:rsidR="00A57CD3">
        <w:rPr>
          <w:lang w:val="en"/>
        </w:rPr>
        <w:t>s</w:t>
      </w:r>
      <w:r w:rsidRPr="000520B8">
        <w:rPr>
          <w:lang w:val="en"/>
        </w:rPr>
        <w:t xml:space="preserve"> Expectations</w:t>
      </w:r>
      <w:r>
        <w:rPr>
          <w:lang w:val="en"/>
        </w:rPr>
        <w:t xml:space="preserve"> in all </w:t>
      </w:r>
      <w:r w:rsidR="00A65EDD">
        <w:rPr>
          <w:lang w:val="en"/>
        </w:rPr>
        <w:t xml:space="preserve">reading </w:t>
      </w:r>
      <w:r>
        <w:rPr>
          <w:lang w:val="en"/>
        </w:rPr>
        <w:t>components</w:t>
      </w:r>
    </w:p>
    <w:p w14:paraId="54E78292" w14:textId="77777777" w:rsidR="00D82CFD" w:rsidRDefault="00D82CFD" w:rsidP="00D82CFD">
      <w:pPr>
        <w:pStyle w:val="Text"/>
        <w:spacing w:after="0" w:line="240" w:lineRule="auto"/>
        <w:rPr>
          <w:lang w:val="en"/>
        </w:rPr>
      </w:pPr>
      <w:r w:rsidRPr="00B23895">
        <w:rPr>
          <w:b/>
          <w:bCs/>
          <w:lang w:val="en"/>
        </w:rPr>
        <w:t>First Grade</w:t>
      </w:r>
      <w:r>
        <w:rPr>
          <w:b/>
          <w:bCs/>
          <w:lang w:val="en"/>
        </w:rPr>
        <w:t>:</w:t>
      </w:r>
    </w:p>
    <w:p w14:paraId="50890CDB" w14:textId="77777777" w:rsidR="00D82CFD" w:rsidRDefault="00D82CFD" w:rsidP="00D82CFD">
      <w:pPr>
        <w:pStyle w:val="Text"/>
        <w:numPr>
          <w:ilvl w:val="0"/>
          <w:numId w:val="4"/>
        </w:numPr>
        <w:spacing w:after="0" w:line="240" w:lineRule="auto"/>
        <w:rPr>
          <w:lang w:val="en"/>
        </w:rPr>
      </w:pPr>
      <w:r>
        <w:rPr>
          <w:lang w:val="en"/>
        </w:rPr>
        <w:t>Phonological and Phonemic Awareness – Meets Expectations</w:t>
      </w:r>
    </w:p>
    <w:p w14:paraId="34BF0407" w14:textId="77777777" w:rsidR="00D82CFD" w:rsidRDefault="00D82CFD" w:rsidP="00D82CFD">
      <w:pPr>
        <w:pStyle w:val="Text"/>
        <w:numPr>
          <w:ilvl w:val="0"/>
          <w:numId w:val="4"/>
        </w:numPr>
        <w:spacing w:after="0" w:line="240" w:lineRule="auto"/>
        <w:rPr>
          <w:lang w:val="en"/>
        </w:rPr>
      </w:pPr>
      <w:r>
        <w:rPr>
          <w:lang w:val="en"/>
        </w:rPr>
        <w:t>Phonics and Word Study – Meets Expectations</w:t>
      </w:r>
    </w:p>
    <w:p w14:paraId="1F0A4B8C" w14:textId="77777777" w:rsidR="00D82CFD" w:rsidRDefault="00D82CFD" w:rsidP="00D82CFD">
      <w:pPr>
        <w:pStyle w:val="Text"/>
        <w:numPr>
          <w:ilvl w:val="0"/>
          <w:numId w:val="4"/>
        </w:numPr>
        <w:spacing w:after="0" w:line="240" w:lineRule="auto"/>
        <w:rPr>
          <w:lang w:val="en"/>
        </w:rPr>
      </w:pPr>
      <w:r>
        <w:rPr>
          <w:lang w:val="en"/>
        </w:rPr>
        <w:t>Vocabulary – Meets Expectations</w:t>
      </w:r>
    </w:p>
    <w:p w14:paraId="69010CE1" w14:textId="77777777" w:rsidR="00D82CFD" w:rsidRDefault="00D82CFD" w:rsidP="00D82CFD">
      <w:pPr>
        <w:pStyle w:val="Text"/>
        <w:numPr>
          <w:ilvl w:val="0"/>
          <w:numId w:val="4"/>
        </w:numPr>
        <w:spacing w:after="0" w:line="240" w:lineRule="auto"/>
        <w:rPr>
          <w:lang w:val="en"/>
        </w:rPr>
      </w:pPr>
      <w:r>
        <w:rPr>
          <w:lang w:val="en"/>
        </w:rPr>
        <w:t>Text Reading and Fluency – Partially Meets Expectations</w:t>
      </w:r>
    </w:p>
    <w:p w14:paraId="6857F777" w14:textId="77777777" w:rsidR="00D82CFD" w:rsidRDefault="00D82CFD" w:rsidP="00D82CFD">
      <w:pPr>
        <w:pStyle w:val="Text"/>
        <w:numPr>
          <w:ilvl w:val="0"/>
          <w:numId w:val="4"/>
        </w:numPr>
        <w:spacing w:after="0" w:line="240" w:lineRule="auto"/>
        <w:rPr>
          <w:lang w:val="en"/>
        </w:rPr>
      </w:pPr>
      <w:r>
        <w:rPr>
          <w:lang w:val="en"/>
        </w:rPr>
        <w:t xml:space="preserve">Reading Comprehension – Meets Expectations </w:t>
      </w:r>
    </w:p>
    <w:p w14:paraId="11BD875F" w14:textId="77777777" w:rsidR="00D82CFD" w:rsidRDefault="00D82CFD" w:rsidP="00D82CFD">
      <w:pPr>
        <w:pStyle w:val="Text"/>
        <w:spacing w:after="0" w:line="240" w:lineRule="auto"/>
      </w:pPr>
      <w:r w:rsidRPr="00B23895">
        <w:rPr>
          <w:b/>
          <w:bCs/>
        </w:rPr>
        <w:t xml:space="preserve">Second Grade: </w:t>
      </w:r>
    </w:p>
    <w:p w14:paraId="05D5DA43" w14:textId="77777777" w:rsidR="00D82CFD" w:rsidRDefault="00D82CFD" w:rsidP="00D82CFD">
      <w:pPr>
        <w:pStyle w:val="Text"/>
        <w:numPr>
          <w:ilvl w:val="0"/>
          <w:numId w:val="4"/>
        </w:numPr>
        <w:spacing w:after="0" w:line="240" w:lineRule="auto"/>
        <w:rPr>
          <w:lang w:val="en"/>
        </w:rPr>
      </w:pPr>
      <w:r>
        <w:rPr>
          <w:lang w:val="en"/>
        </w:rPr>
        <w:t>Phonics and Word Study – Meets Expectations</w:t>
      </w:r>
    </w:p>
    <w:p w14:paraId="7822DD3B" w14:textId="77777777" w:rsidR="00D82CFD" w:rsidRDefault="00D82CFD" w:rsidP="00D82CFD">
      <w:pPr>
        <w:pStyle w:val="Text"/>
        <w:numPr>
          <w:ilvl w:val="0"/>
          <w:numId w:val="4"/>
        </w:numPr>
        <w:spacing w:after="0" w:line="240" w:lineRule="auto"/>
        <w:rPr>
          <w:lang w:val="en"/>
        </w:rPr>
      </w:pPr>
      <w:r>
        <w:rPr>
          <w:lang w:val="en"/>
        </w:rPr>
        <w:t>Vocabulary – Meets Expectations</w:t>
      </w:r>
    </w:p>
    <w:p w14:paraId="6C8E16AB" w14:textId="77777777" w:rsidR="00D82CFD" w:rsidRDefault="00D82CFD" w:rsidP="00D82CFD">
      <w:pPr>
        <w:pStyle w:val="Text"/>
        <w:numPr>
          <w:ilvl w:val="0"/>
          <w:numId w:val="4"/>
        </w:numPr>
        <w:spacing w:after="0" w:line="240" w:lineRule="auto"/>
        <w:rPr>
          <w:lang w:val="en"/>
        </w:rPr>
      </w:pPr>
      <w:r>
        <w:rPr>
          <w:lang w:val="en"/>
        </w:rPr>
        <w:t>Text Reading and Fluency – Partially Meets Expectations</w:t>
      </w:r>
    </w:p>
    <w:p w14:paraId="2208903D" w14:textId="77777777" w:rsidR="00D82CFD" w:rsidRPr="00A57FA2" w:rsidRDefault="00D82CFD" w:rsidP="00D82CFD">
      <w:pPr>
        <w:pStyle w:val="Text"/>
        <w:numPr>
          <w:ilvl w:val="0"/>
          <w:numId w:val="4"/>
        </w:numPr>
        <w:spacing w:after="0" w:line="240" w:lineRule="auto"/>
        <w:rPr>
          <w:lang w:val="en"/>
        </w:rPr>
      </w:pPr>
      <w:r>
        <w:rPr>
          <w:lang w:val="en"/>
        </w:rPr>
        <w:t xml:space="preserve">Reading Comprehension – Meets Expectations </w:t>
      </w:r>
    </w:p>
    <w:p w14:paraId="3661E258" w14:textId="729A9A2C" w:rsidR="00D82CFD" w:rsidRDefault="00D82CFD" w:rsidP="00D82CFD">
      <w:pPr>
        <w:pStyle w:val="Text"/>
        <w:spacing w:after="0" w:line="240" w:lineRule="auto"/>
      </w:pPr>
      <w:r>
        <w:rPr>
          <w:b/>
          <w:bCs/>
        </w:rPr>
        <w:t>Third G</w:t>
      </w:r>
      <w:r w:rsidRPr="00B23895">
        <w:rPr>
          <w:b/>
          <w:bCs/>
        </w:rPr>
        <w:t xml:space="preserve">rade: </w:t>
      </w:r>
    </w:p>
    <w:p w14:paraId="637B0716" w14:textId="77777777" w:rsidR="00D82CFD" w:rsidRDefault="00D82CFD" w:rsidP="00D82CFD">
      <w:pPr>
        <w:pStyle w:val="Text"/>
        <w:numPr>
          <w:ilvl w:val="0"/>
          <w:numId w:val="4"/>
        </w:numPr>
        <w:spacing w:after="0" w:line="240" w:lineRule="auto"/>
        <w:rPr>
          <w:lang w:val="en"/>
        </w:rPr>
      </w:pPr>
      <w:r>
        <w:rPr>
          <w:lang w:val="en"/>
        </w:rPr>
        <w:t>Phonics and Word Study – Meets Expectations</w:t>
      </w:r>
    </w:p>
    <w:p w14:paraId="01CBD4BA" w14:textId="77777777" w:rsidR="00D82CFD" w:rsidRDefault="00D82CFD" w:rsidP="00D82CFD">
      <w:pPr>
        <w:pStyle w:val="Text"/>
        <w:numPr>
          <w:ilvl w:val="0"/>
          <w:numId w:val="4"/>
        </w:numPr>
        <w:spacing w:after="0" w:line="240" w:lineRule="auto"/>
        <w:rPr>
          <w:lang w:val="en"/>
        </w:rPr>
      </w:pPr>
      <w:r>
        <w:rPr>
          <w:lang w:val="en"/>
        </w:rPr>
        <w:t>Vocabulary – Meets Expectations</w:t>
      </w:r>
    </w:p>
    <w:p w14:paraId="03AC8F1C" w14:textId="77777777" w:rsidR="00D82CFD" w:rsidRDefault="00D82CFD" w:rsidP="00D82CFD">
      <w:pPr>
        <w:pStyle w:val="Text"/>
        <w:numPr>
          <w:ilvl w:val="0"/>
          <w:numId w:val="4"/>
        </w:numPr>
        <w:spacing w:after="0" w:line="240" w:lineRule="auto"/>
        <w:rPr>
          <w:lang w:val="en"/>
        </w:rPr>
      </w:pPr>
      <w:r>
        <w:rPr>
          <w:lang w:val="en"/>
        </w:rPr>
        <w:t>Text Reading and Fluency – Partially Meets Expectations</w:t>
      </w:r>
    </w:p>
    <w:p w14:paraId="0DFAC6BF" w14:textId="77777777" w:rsidR="00D82CFD" w:rsidRPr="00A57FA2" w:rsidRDefault="00D82CFD" w:rsidP="00D82CFD">
      <w:pPr>
        <w:pStyle w:val="Text"/>
        <w:numPr>
          <w:ilvl w:val="0"/>
          <w:numId w:val="4"/>
        </w:numPr>
        <w:spacing w:after="0" w:line="240" w:lineRule="auto"/>
        <w:rPr>
          <w:lang w:val="en"/>
        </w:rPr>
      </w:pPr>
      <w:r>
        <w:rPr>
          <w:lang w:val="en"/>
        </w:rPr>
        <w:t xml:space="preserve">Reading Comprehension – Meets Expectations </w:t>
      </w:r>
    </w:p>
    <w:p w14:paraId="3B25C35E" w14:textId="63FF45A7" w:rsidR="00B23895" w:rsidRDefault="00B23895" w:rsidP="00426C42">
      <w:pPr>
        <w:pBdr>
          <w:bottom w:val="single" w:sz="12" w:space="1" w:color="44546A" w:themeColor="text2"/>
        </w:pBdr>
        <w:spacing w:after="0" w:line="240" w:lineRule="auto"/>
        <w:rPr>
          <w:lang w:val="en"/>
        </w:rPr>
      </w:pPr>
      <w:r w:rsidRPr="00B23895">
        <w:rPr>
          <w:b/>
          <w:bCs/>
          <w:lang w:val="en"/>
        </w:rPr>
        <w:t>Usability:</w:t>
      </w:r>
      <w:r>
        <w:rPr>
          <w:lang w:val="en"/>
        </w:rPr>
        <w:t xml:space="preserve"> Me</w:t>
      </w:r>
      <w:r w:rsidR="00A57CD3">
        <w:rPr>
          <w:lang w:val="en"/>
        </w:rPr>
        <w:t>e</w:t>
      </w:r>
      <w:r>
        <w:rPr>
          <w:lang w:val="en"/>
        </w:rPr>
        <w:t>t</w:t>
      </w:r>
      <w:r w:rsidR="00A942D4">
        <w:rPr>
          <w:lang w:val="en"/>
        </w:rPr>
        <w:t>s</w:t>
      </w:r>
      <w:r>
        <w:rPr>
          <w:lang w:val="en"/>
        </w:rPr>
        <w:t xml:space="preserve"> Expectations</w:t>
      </w:r>
    </w:p>
    <w:p w14:paraId="53200F7A" w14:textId="493EE692" w:rsidR="00913347" w:rsidRPr="00913347" w:rsidRDefault="00913347" w:rsidP="00426C42">
      <w:pPr>
        <w:pBdr>
          <w:bottom w:val="single" w:sz="12" w:space="1" w:color="44546A" w:themeColor="text2"/>
        </w:pBdr>
        <w:spacing w:after="0" w:line="240" w:lineRule="auto"/>
        <w:rPr>
          <w:b/>
          <w:bCs/>
          <w:lang w:val="en"/>
        </w:rPr>
      </w:pPr>
      <w:r w:rsidRPr="00913347">
        <w:rPr>
          <w:b/>
          <w:bCs/>
          <w:lang w:val="en"/>
        </w:rPr>
        <w:t xml:space="preserve">Review Comments: </w:t>
      </w:r>
      <w:r w:rsidRPr="00913347">
        <w:rPr>
          <w:lang w:val="en"/>
        </w:rPr>
        <w:t xml:space="preserve">Programming materials include controlled, decodable texts. However, the program </w:t>
      </w:r>
      <w:r w:rsidR="000735AB">
        <w:rPr>
          <w:lang w:val="en"/>
        </w:rPr>
        <w:t xml:space="preserve">also utilizes assessments </w:t>
      </w:r>
      <w:r w:rsidR="000735AB" w:rsidRPr="000735AB">
        <w:rPr>
          <w:lang w:val="en"/>
        </w:rPr>
        <w:t xml:space="preserve">for fluency and accuracy using leveled text assessments </w:t>
      </w:r>
      <w:r w:rsidR="000735AB">
        <w:rPr>
          <w:lang w:val="en"/>
        </w:rPr>
        <w:t xml:space="preserve">for the purpose of placing students into </w:t>
      </w:r>
      <w:r w:rsidR="000735AB" w:rsidRPr="000735AB">
        <w:rPr>
          <w:lang w:val="en"/>
        </w:rPr>
        <w:t>leveled readers</w:t>
      </w:r>
      <w:r w:rsidR="000735AB">
        <w:rPr>
          <w:lang w:val="en"/>
        </w:rPr>
        <w:t xml:space="preserve">. These assessments </w:t>
      </w:r>
      <w:r w:rsidR="000735AB" w:rsidRPr="000735AB">
        <w:rPr>
          <w:lang w:val="en"/>
        </w:rPr>
        <w:t>do not align to specific skill deficits or instructional needs.</w:t>
      </w:r>
      <w:r w:rsidR="000735AB">
        <w:rPr>
          <w:lang w:val="en"/>
        </w:rPr>
        <w:t xml:space="preserve"> </w:t>
      </w:r>
      <w:r w:rsidRPr="00913347">
        <w:rPr>
          <w:lang w:val="en"/>
        </w:rPr>
        <w:t>The</w:t>
      </w:r>
      <w:r w:rsidR="000735AB">
        <w:rPr>
          <w:lang w:val="en"/>
        </w:rPr>
        <w:t xml:space="preserve"> </w:t>
      </w:r>
      <w:r w:rsidRPr="00913347">
        <w:rPr>
          <w:lang w:val="en"/>
        </w:rPr>
        <w:t>leveled text</w:t>
      </w:r>
      <w:r w:rsidR="000735AB">
        <w:rPr>
          <w:lang w:val="en"/>
        </w:rPr>
        <w:t xml:space="preserve"> students could be placed into</w:t>
      </w:r>
      <w:r w:rsidRPr="00913347">
        <w:rPr>
          <w:lang w:val="en"/>
        </w:rPr>
        <w:t xml:space="preserve"> include words with phonics patterns </w:t>
      </w:r>
      <w:r>
        <w:rPr>
          <w:lang w:val="en"/>
        </w:rPr>
        <w:t>which are</w:t>
      </w:r>
      <w:r w:rsidRPr="00913347">
        <w:rPr>
          <w:lang w:val="en"/>
        </w:rPr>
        <w:t xml:space="preserve"> </w:t>
      </w:r>
      <w:r>
        <w:rPr>
          <w:lang w:val="en"/>
        </w:rPr>
        <w:t xml:space="preserve">more </w:t>
      </w:r>
      <w:r w:rsidRPr="00913347">
        <w:rPr>
          <w:lang w:val="en"/>
        </w:rPr>
        <w:t>advance</w:t>
      </w:r>
      <w:r>
        <w:rPr>
          <w:lang w:val="en"/>
        </w:rPr>
        <w:t>d</w:t>
      </w:r>
      <w:r w:rsidRPr="00913347">
        <w:rPr>
          <w:lang w:val="en"/>
        </w:rPr>
        <w:t xml:space="preserve"> </w:t>
      </w:r>
      <w:r>
        <w:rPr>
          <w:lang w:val="en"/>
        </w:rPr>
        <w:t xml:space="preserve">than </w:t>
      </w:r>
      <w:r w:rsidRPr="00913347">
        <w:rPr>
          <w:lang w:val="en"/>
        </w:rPr>
        <w:t xml:space="preserve">the skills previously taught. Guided reading coaching cards explicitly direct teachers to encourage word recognition strategies such as "look at the picture for clues to read the word" and "point to the first sound of the word (rather than the whole word) to help </w:t>
      </w:r>
      <w:r w:rsidRPr="00913347">
        <w:rPr>
          <w:lang w:val="en"/>
        </w:rPr>
        <w:lastRenderedPageBreak/>
        <w:t>solve the word." Guidance for C</w:t>
      </w:r>
      <w:r w:rsidR="000735AB">
        <w:rPr>
          <w:lang w:val="en"/>
        </w:rPr>
        <w:t>olorado</w:t>
      </w:r>
      <w:r w:rsidRPr="00913347">
        <w:rPr>
          <w:lang w:val="en"/>
        </w:rPr>
        <w:t xml:space="preserve"> use of this programming must be specific to ensure alignment with scientifically based reading research on word recognition.</w:t>
      </w:r>
    </w:p>
    <w:p w14:paraId="32C4B12F" w14:textId="77777777" w:rsidR="00B23895" w:rsidRDefault="00B23895" w:rsidP="00426C42">
      <w:pPr>
        <w:pBdr>
          <w:bottom w:val="single" w:sz="12" w:space="1" w:color="44546A" w:themeColor="text2"/>
        </w:pBdr>
        <w:rPr>
          <w:lang w:val="en"/>
        </w:rPr>
      </w:pPr>
    </w:p>
    <w:p w14:paraId="3ECE2F37" w14:textId="77777777" w:rsidR="002E4226" w:rsidRPr="00650FF0" w:rsidRDefault="002E4226" w:rsidP="002E4226">
      <w:pPr>
        <w:pStyle w:val="Heading3"/>
      </w:pPr>
      <w:r>
        <w:t>Vendor Information and Program Summary</w:t>
      </w:r>
    </w:p>
    <w:p w14:paraId="06F63457" w14:textId="0D00D06F" w:rsidR="00257B07" w:rsidRPr="00B6486C" w:rsidRDefault="00257B07" w:rsidP="00D41CDA">
      <w:pPr>
        <w:pStyle w:val="Text"/>
        <w:rPr>
          <w:color w:val="000000"/>
        </w:rPr>
      </w:pPr>
      <w:r w:rsidRPr="00AA4FF6">
        <w:rPr>
          <w:b/>
          <w:bCs/>
          <w:color w:val="000000"/>
        </w:rPr>
        <w:t xml:space="preserve">Vendor: </w:t>
      </w:r>
      <w:r w:rsidR="00B6486C">
        <w:rPr>
          <w:color w:val="000000"/>
        </w:rPr>
        <w:t>Houghton Mifflin Harcourt</w:t>
      </w:r>
    </w:p>
    <w:p w14:paraId="2E429B8A" w14:textId="225DE29D" w:rsidR="00B07A12" w:rsidRPr="00B6486C" w:rsidRDefault="00B07A12" w:rsidP="00D41CDA">
      <w:pPr>
        <w:pStyle w:val="Text"/>
        <w:rPr>
          <w:color w:val="000000"/>
        </w:rPr>
      </w:pPr>
      <w:bookmarkStart w:id="1" w:name="_Hlk41919839"/>
      <w:r w:rsidRPr="00AA4FF6">
        <w:rPr>
          <w:b/>
          <w:bCs/>
          <w:color w:val="000000"/>
        </w:rPr>
        <w:t xml:space="preserve">Publication year (or edition): </w:t>
      </w:r>
      <w:r w:rsidR="00B6486C" w:rsidRPr="00AA4456">
        <w:rPr>
          <w:b/>
          <w:bCs/>
          <w:i/>
          <w:iCs/>
          <w:color w:val="000000"/>
        </w:rPr>
        <w:t>Into Reading</w:t>
      </w:r>
      <w:r w:rsidR="00B6486C">
        <w:rPr>
          <w:color w:val="000000"/>
        </w:rPr>
        <w:t>, 2020</w:t>
      </w:r>
    </w:p>
    <w:bookmarkEnd w:id="1"/>
    <w:p w14:paraId="31B69AE6" w14:textId="4AD38E2D" w:rsidR="00E060F3" w:rsidRPr="00A50BC8" w:rsidRDefault="00257B07" w:rsidP="00A50BC8">
      <w:pPr>
        <w:pStyle w:val="Text"/>
        <w:rPr>
          <w:b/>
          <w:bCs/>
          <w:color w:val="000000"/>
        </w:rPr>
      </w:pPr>
      <w:r w:rsidRPr="00AA4FF6">
        <w:rPr>
          <w:b/>
          <w:bCs/>
          <w:color w:val="000000"/>
        </w:rPr>
        <w:t>Contact Information</w:t>
      </w:r>
      <w:r w:rsidR="00A50BC8">
        <w:rPr>
          <w:b/>
          <w:bCs/>
          <w:color w:val="000000"/>
        </w:rPr>
        <w:t xml:space="preserve"> for Account Executives | </w:t>
      </w:r>
      <w:r w:rsidR="00A50BC8" w:rsidRPr="00A50BC8">
        <w:rPr>
          <w:b/>
          <w:bCs/>
          <w:color w:val="000000"/>
        </w:rPr>
        <w:t>Address: 125 High Street, Boston, MA 02110</w:t>
      </w:r>
    </w:p>
    <w:p w14:paraId="24B93AD0" w14:textId="77777777" w:rsidR="002C3589" w:rsidRDefault="002C3589" w:rsidP="00257B07">
      <w:pPr>
        <w:pStyle w:val="Text"/>
        <w:ind w:left="720"/>
        <w:rPr>
          <w:b/>
          <w:bCs/>
          <w:color w:val="000000"/>
        </w:rPr>
        <w:sectPr w:rsidR="002C3589" w:rsidSect="00431BA8">
          <w:headerReference w:type="default" r:id="rId11"/>
          <w:headerReference w:type="first" r:id="rId12"/>
          <w:pgSz w:w="12240" w:h="15840" w:code="1"/>
          <w:pgMar w:top="720" w:right="720" w:bottom="720" w:left="720" w:header="0" w:footer="1152" w:gutter="0"/>
          <w:cols w:space="720"/>
          <w:titlePg/>
          <w:docGrid w:linePitch="360"/>
        </w:sectPr>
      </w:pPr>
    </w:p>
    <w:p w14:paraId="1061EB75" w14:textId="7630EDF8" w:rsidR="00257B07" w:rsidRPr="00E060F3" w:rsidRDefault="00257B07" w:rsidP="00E060F3">
      <w:pPr>
        <w:pStyle w:val="Text"/>
        <w:spacing w:before="120" w:after="120" w:line="240" w:lineRule="auto"/>
        <w:rPr>
          <w:color w:val="000000"/>
        </w:rPr>
      </w:pPr>
      <w:r w:rsidRPr="00E060F3">
        <w:rPr>
          <w:b/>
          <w:bCs/>
          <w:color w:val="000000"/>
        </w:rPr>
        <w:t>Name:</w:t>
      </w:r>
      <w:r w:rsidR="002C3589" w:rsidRPr="00E060F3">
        <w:rPr>
          <w:b/>
          <w:bCs/>
          <w:color w:val="000000"/>
        </w:rPr>
        <w:t xml:space="preserve"> </w:t>
      </w:r>
      <w:r w:rsidR="002C3589" w:rsidRPr="00E060F3">
        <w:t>Jennee Studer, Southern Colorado and Western Slope</w:t>
      </w:r>
    </w:p>
    <w:p w14:paraId="030D2A60" w14:textId="3CA547BC" w:rsidR="00257B07" w:rsidRPr="00E060F3" w:rsidRDefault="00257B07" w:rsidP="00E060F3">
      <w:pPr>
        <w:pStyle w:val="Text"/>
        <w:spacing w:before="120" w:after="120" w:line="240" w:lineRule="auto"/>
        <w:rPr>
          <w:b/>
          <w:bCs/>
          <w:color w:val="000000"/>
        </w:rPr>
      </w:pPr>
      <w:r w:rsidRPr="00E060F3">
        <w:rPr>
          <w:b/>
          <w:bCs/>
          <w:color w:val="000000"/>
        </w:rPr>
        <w:t xml:space="preserve">Number: </w:t>
      </w:r>
      <w:r w:rsidR="002C3589" w:rsidRPr="00E060F3">
        <w:rPr>
          <w:color w:val="000000"/>
        </w:rPr>
        <w:t>(303) 257-7850</w:t>
      </w:r>
    </w:p>
    <w:p w14:paraId="2B1F47DE" w14:textId="408726A6" w:rsidR="00257B07" w:rsidRPr="00E060F3" w:rsidRDefault="00257B07" w:rsidP="00E060F3">
      <w:pPr>
        <w:pStyle w:val="Text"/>
        <w:spacing w:before="120" w:after="120" w:line="240" w:lineRule="auto"/>
        <w:rPr>
          <w:b/>
          <w:bCs/>
          <w:color w:val="000000"/>
        </w:rPr>
      </w:pPr>
      <w:r w:rsidRPr="00E060F3">
        <w:rPr>
          <w:b/>
          <w:bCs/>
          <w:color w:val="000000"/>
        </w:rPr>
        <w:t xml:space="preserve">Email: </w:t>
      </w:r>
      <w:hyperlink r:id="rId13" w:history="1">
        <w:r w:rsidR="00B308BC" w:rsidRPr="00782CF7">
          <w:rPr>
            <w:rStyle w:val="Hyperlink"/>
          </w:rPr>
          <w:t>jennee.studer@hmhco.com</w:t>
        </w:r>
      </w:hyperlink>
      <w:r w:rsidR="00B308BC">
        <w:rPr>
          <w:color w:val="000000"/>
        </w:rPr>
        <w:t xml:space="preserve"> </w:t>
      </w:r>
    </w:p>
    <w:p w14:paraId="576BC930" w14:textId="6D6556C1" w:rsidR="002C3589" w:rsidRPr="00E060F3" w:rsidRDefault="002C3589" w:rsidP="00E060F3">
      <w:pPr>
        <w:pStyle w:val="Text"/>
        <w:spacing w:before="120" w:after="120" w:line="240" w:lineRule="auto"/>
        <w:rPr>
          <w:color w:val="000000"/>
        </w:rPr>
      </w:pPr>
      <w:r w:rsidRPr="00E060F3">
        <w:rPr>
          <w:b/>
          <w:bCs/>
          <w:color w:val="000000"/>
        </w:rPr>
        <w:t xml:space="preserve">Name: </w:t>
      </w:r>
      <w:r w:rsidRPr="00E060F3">
        <w:rPr>
          <w:color w:val="000000"/>
        </w:rPr>
        <w:t>Corinne Hendricks, Denver Area and Northern Colorado</w:t>
      </w:r>
    </w:p>
    <w:p w14:paraId="5D120869" w14:textId="3D1AF934" w:rsidR="002C3589" w:rsidRPr="00E060F3" w:rsidRDefault="002C3589" w:rsidP="00E060F3">
      <w:pPr>
        <w:pStyle w:val="Text"/>
        <w:spacing w:before="120" w:after="120" w:line="240" w:lineRule="auto"/>
        <w:rPr>
          <w:b/>
          <w:bCs/>
          <w:color w:val="000000"/>
        </w:rPr>
      </w:pPr>
      <w:r w:rsidRPr="00E060F3">
        <w:rPr>
          <w:b/>
          <w:bCs/>
          <w:color w:val="000000"/>
        </w:rPr>
        <w:t xml:space="preserve">Number: </w:t>
      </w:r>
      <w:r w:rsidRPr="00E060F3">
        <w:rPr>
          <w:color w:val="000000"/>
        </w:rPr>
        <w:t>(303) 330-3528</w:t>
      </w:r>
    </w:p>
    <w:p w14:paraId="17D9816F" w14:textId="508E4590" w:rsidR="002C3589" w:rsidRPr="00E060F3" w:rsidRDefault="002C3589" w:rsidP="00E060F3">
      <w:pPr>
        <w:pStyle w:val="Text"/>
        <w:spacing w:before="120" w:after="120" w:line="240" w:lineRule="auto"/>
        <w:rPr>
          <w:b/>
          <w:bCs/>
          <w:color w:val="000000"/>
        </w:rPr>
      </w:pPr>
      <w:r w:rsidRPr="00E060F3">
        <w:rPr>
          <w:b/>
          <w:bCs/>
          <w:color w:val="000000"/>
        </w:rPr>
        <w:t xml:space="preserve">Email: </w:t>
      </w:r>
      <w:hyperlink r:id="rId14" w:history="1">
        <w:r w:rsidR="00B308BC" w:rsidRPr="00782CF7">
          <w:rPr>
            <w:rStyle w:val="Hyperlink"/>
            <w:sz w:val="18"/>
            <w:szCs w:val="18"/>
          </w:rPr>
          <w:t>corinne.hendricks@hmhco.com</w:t>
        </w:r>
      </w:hyperlink>
      <w:r w:rsidR="00B308BC">
        <w:rPr>
          <w:color w:val="000000"/>
          <w:sz w:val="18"/>
          <w:szCs w:val="18"/>
        </w:rPr>
        <w:t xml:space="preserve"> </w:t>
      </w:r>
    </w:p>
    <w:p w14:paraId="7643FAD9" w14:textId="44A6083C" w:rsidR="002C3589" w:rsidRPr="00E060F3" w:rsidRDefault="002C3589" w:rsidP="00E060F3">
      <w:pPr>
        <w:pStyle w:val="Text"/>
        <w:spacing w:before="120" w:after="120" w:line="240" w:lineRule="auto"/>
        <w:rPr>
          <w:color w:val="000000"/>
        </w:rPr>
      </w:pPr>
      <w:r w:rsidRPr="00E060F3">
        <w:rPr>
          <w:b/>
          <w:bCs/>
          <w:color w:val="000000"/>
        </w:rPr>
        <w:t xml:space="preserve">Name: </w:t>
      </w:r>
      <w:r w:rsidRPr="00E060F3">
        <w:rPr>
          <w:color w:val="000000"/>
        </w:rPr>
        <w:t>Trish Eichhold, Denver Public Schools, Aurora School District and Cherry Creek</w:t>
      </w:r>
    </w:p>
    <w:p w14:paraId="28FB4068" w14:textId="742DD849" w:rsidR="002C3589" w:rsidRPr="00E060F3" w:rsidRDefault="002C3589" w:rsidP="00E060F3">
      <w:pPr>
        <w:pStyle w:val="Text"/>
        <w:spacing w:before="120" w:after="120" w:line="240" w:lineRule="auto"/>
        <w:rPr>
          <w:b/>
          <w:bCs/>
          <w:color w:val="000000"/>
        </w:rPr>
      </w:pPr>
      <w:r w:rsidRPr="00E060F3">
        <w:rPr>
          <w:b/>
          <w:bCs/>
          <w:color w:val="000000"/>
        </w:rPr>
        <w:t xml:space="preserve">Number: </w:t>
      </w:r>
      <w:r w:rsidRPr="00E060F3">
        <w:rPr>
          <w:color w:val="000000"/>
        </w:rPr>
        <w:t>(720) 481-0559</w:t>
      </w:r>
    </w:p>
    <w:p w14:paraId="49E2AD13" w14:textId="73422006" w:rsidR="002C3589" w:rsidRPr="00E060F3" w:rsidRDefault="002C3589" w:rsidP="00E060F3">
      <w:pPr>
        <w:pStyle w:val="Text"/>
        <w:spacing w:before="120" w:after="120" w:line="240" w:lineRule="auto"/>
        <w:rPr>
          <w:b/>
          <w:bCs/>
          <w:color w:val="000000"/>
        </w:rPr>
      </w:pPr>
      <w:r w:rsidRPr="00E060F3">
        <w:rPr>
          <w:b/>
          <w:bCs/>
          <w:color w:val="000000"/>
        </w:rPr>
        <w:t xml:space="preserve">Email: </w:t>
      </w:r>
      <w:hyperlink r:id="rId15" w:history="1">
        <w:r w:rsidR="00B308BC" w:rsidRPr="00782CF7">
          <w:rPr>
            <w:rStyle w:val="Hyperlink"/>
          </w:rPr>
          <w:t>trish.eichhold@hmhco.com</w:t>
        </w:r>
      </w:hyperlink>
      <w:r w:rsidR="00B308BC">
        <w:rPr>
          <w:color w:val="000000"/>
        </w:rPr>
        <w:t xml:space="preserve"> </w:t>
      </w:r>
    </w:p>
    <w:p w14:paraId="5CAE6C62" w14:textId="77777777" w:rsidR="002C3589" w:rsidRDefault="002C3589" w:rsidP="00B23895">
      <w:pPr>
        <w:pStyle w:val="Text"/>
        <w:rPr>
          <w:b/>
          <w:bCs/>
          <w:color w:val="000000"/>
        </w:rPr>
        <w:sectPr w:rsidR="002C3589" w:rsidSect="002C3589">
          <w:type w:val="continuous"/>
          <w:pgSz w:w="12240" w:h="15840" w:code="1"/>
          <w:pgMar w:top="720" w:right="720" w:bottom="720" w:left="720" w:header="0" w:footer="1152" w:gutter="0"/>
          <w:cols w:num="3" w:space="720"/>
          <w:titlePg/>
          <w:docGrid w:linePitch="360"/>
        </w:sectPr>
      </w:pPr>
    </w:p>
    <w:p w14:paraId="2035719B" w14:textId="77777777" w:rsidR="00B308BC" w:rsidRDefault="00B308BC" w:rsidP="00B23895">
      <w:pPr>
        <w:pStyle w:val="Text"/>
        <w:rPr>
          <w:b/>
          <w:bCs/>
          <w:color w:val="000000"/>
        </w:rPr>
      </w:pPr>
    </w:p>
    <w:p w14:paraId="62DBD10B" w14:textId="09691ACA" w:rsidR="00B23895" w:rsidRDefault="00187333" w:rsidP="00B23895">
      <w:pPr>
        <w:pStyle w:val="Text"/>
      </w:pPr>
      <w:r w:rsidRPr="00AA4FF6">
        <w:rPr>
          <w:b/>
          <w:bCs/>
          <w:color w:val="000000"/>
        </w:rPr>
        <w:t>Vendor provided summary:</w:t>
      </w:r>
    </w:p>
    <w:p w14:paraId="3F53F17F" w14:textId="424AB668" w:rsidR="00DD3E42" w:rsidRPr="00DD3E42" w:rsidRDefault="00DD3E42" w:rsidP="00E060F3">
      <w:pPr>
        <w:ind w:right="0"/>
      </w:pPr>
      <w:r w:rsidRPr="00DD3E42">
        <w:rPr>
          <w:b/>
          <w:bCs/>
          <w:i/>
          <w:iCs/>
        </w:rPr>
        <w:t>Into Reading</w:t>
      </w:r>
      <w:r w:rsidRPr="00DD3E42">
        <w:t xml:space="preserve"> is a comprehensive English language arts program that provides explicit, systematic instruction across all strands of literacy—reading, vocabulary, English language development, foundational skills, and writing—all based on </w:t>
      </w:r>
      <w:r w:rsidRPr="00DD3E42">
        <w:rPr>
          <w:rFonts w:ascii="Segoe UI" w:hAnsi="Segoe UI" w:cs="Segoe UI"/>
        </w:rPr>
        <w:t>trusted research and recommendations from the International Literacy Association (ILA); the International Reading Association (IRA); and other significant research in the areas of literacy education, the science of learning and cognition, teacher preparedness and instructional practices, equity and diversity in literacy education, growth mindset, and digital learning.</w:t>
      </w:r>
      <w:r w:rsidRPr="00DD3E42">
        <w:t xml:space="preserve">  Additionally, and since foundational skills are the crucial underpinnings of instruction for children to become fluent, confident, and thoughtful readers, </w:t>
      </w:r>
      <w:r w:rsidRPr="00DD3E42">
        <w:rPr>
          <w:b/>
          <w:bCs/>
          <w:i/>
          <w:iCs/>
        </w:rPr>
        <w:t>Into Reading</w:t>
      </w:r>
      <w:r w:rsidRPr="00DD3E42">
        <w:t xml:space="preserve"> promotes mastery of the foundations of reading through a structured sequence developed in close concert with program authors Dr. Anne Cunningham and Dr. Shane Templeton. Daily instruction follows a gradual release model across the full range of the foundational literacy skills: Phonics, Phonological Awareness, Print Concepts, High-Frequency Words, Decoding, Spelling, Word Study, Handwriting, and Fluency. </w:t>
      </w:r>
    </w:p>
    <w:p w14:paraId="32FF331D" w14:textId="3D53FFF4" w:rsidR="00DD3E42" w:rsidRDefault="00DD3E42" w:rsidP="00E060F3">
      <w:pPr>
        <w:spacing w:after="0"/>
        <w:ind w:right="0"/>
      </w:pPr>
      <w:r w:rsidRPr="00DD3E42">
        <w:t xml:space="preserve">Reading instruction is augmented by the </w:t>
      </w:r>
      <w:r w:rsidRPr="00DD3E42">
        <w:rPr>
          <w:i/>
          <w:iCs/>
        </w:rPr>
        <w:t>Notice &amp; Note</w:t>
      </w:r>
      <w:r w:rsidRPr="00DD3E42">
        <w:t xml:space="preserve"> protocol from program authors Dr. Kylene Beers and Dr. Robert E. Probst. This approach to close-reading and annotation is explicitly taught by providing common fiction and nonfiction “Signposts” for students to identify while reading and “Anchor Questions” that foster deep textual analysis. The </w:t>
      </w:r>
      <w:r w:rsidRPr="00DD3E42">
        <w:rPr>
          <w:i/>
          <w:iCs/>
        </w:rPr>
        <w:t>Teacher’s Guide</w:t>
      </w:r>
      <w:r w:rsidRPr="00DD3E42">
        <w:t xml:space="preserve"> provides guidance for the </w:t>
      </w:r>
      <w:r w:rsidRPr="00DD3E42">
        <w:rPr>
          <w:i/>
          <w:iCs/>
        </w:rPr>
        <w:t>Notice &amp; Note</w:t>
      </w:r>
      <w:r w:rsidRPr="00DD3E42">
        <w:t xml:space="preserve"> strategy, as well as teacher support for linguistic and conceptual barriers in the form of the </w:t>
      </w:r>
      <w:r w:rsidRPr="00DD3E42">
        <w:rPr>
          <w:i/>
          <w:iCs/>
        </w:rPr>
        <w:t>Text X-Ray</w:t>
      </w:r>
      <w:r w:rsidRPr="00DD3E42">
        <w:t xml:space="preserve"> and </w:t>
      </w:r>
      <w:r w:rsidRPr="00DD3E42">
        <w:rPr>
          <w:i/>
          <w:iCs/>
        </w:rPr>
        <w:t>Text Complexity Rubric</w:t>
      </w:r>
      <w:r w:rsidRPr="00DD3E42">
        <w:t xml:space="preserve">. </w:t>
      </w:r>
    </w:p>
    <w:p w14:paraId="5A8F19C4" w14:textId="77777777" w:rsidR="00B308BC" w:rsidRPr="00DD3E42" w:rsidRDefault="00B308BC" w:rsidP="00E060F3">
      <w:pPr>
        <w:spacing w:after="0"/>
        <w:ind w:right="0"/>
      </w:pPr>
    </w:p>
    <w:p w14:paraId="25EF8D6E" w14:textId="6241C429" w:rsidR="00B23895" w:rsidRPr="00B23895" w:rsidRDefault="00DD3E42" w:rsidP="00E060F3">
      <w:pPr>
        <w:ind w:right="0"/>
      </w:pPr>
      <w:r w:rsidRPr="00DD3E42">
        <w:t xml:space="preserve">At the heart of the program’s instructional design is data-driven differentiation. Fed by usage data and teacher observations, the benchmark, summative, and formative assessments of </w:t>
      </w:r>
      <w:r w:rsidRPr="00DD3E42">
        <w:rPr>
          <w:b/>
          <w:bCs/>
          <w:i/>
          <w:iCs/>
        </w:rPr>
        <w:t>Into Reading</w:t>
      </w:r>
      <w:r w:rsidRPr="00DD3E42">
        <w:t xml:space="preserve"> bring student growth into focus. </w:t>
      </w:r>
      <w:r w:rsidRPr="00DD3E42">
        <w:rPr>
          <w:b/>
          <w:bCs/>
          <w:i/>
          <w:iCs/>
        </w:rPr>
        <w:t>Into Reading</w:t>
      </w:r>
      <w:r w:rsidRPr="00DD3E42">
        <w:t xml:space="preserve"> includes the </w:t>
      </w:r>
      <w:r w:rsidRPr="00DD3E42">
        <w:rPr>
          <w:i/>
          <w:iCs/>
        </w:rPr>
        <w:t>HMH Reading Growth Measure</w:t>
      </w:r>
      <w:r w:rsidRPr="00DD3E42">
        <w:t xml:space="preserve">, an online, adaptive, research-based assessment. Administered three times a year, the </w:t>
      </w:r>
      <w:r w:rsidRPr="00DD3E42">
        <w:rPr>
          <w:i/>
          <w:iCs/>
        </w:rPr>
        <w:t>HMH Reading Growth Measure</w:t>
      </w:r>
      <w:r w:rsidRPr="00DD3E42">
        <w:t xml:space="preserve"> tracks longitudinal progress and provides teachers with crucial data regarding student progress and growth. The </w:t>
      </w:r>
      <w:r w:rsidRPr="00DD3E42">
        <w:rPr>
          <w:b/>
          <w:bCs/>
          <w:i/>
          <w:iCs/>
        </w:rPr>
        <w:t>Into Reading</w:t>
      </w:r>
      <w:r w:rsidRPr="00DD3E42">
        <w:t xml:space="preserve"> program’s powerful online platform, Ed: Your Friend in Learning, uses the data from this and other program assessments to steer teachers toward meaningful differentiation, monitor student progress toward goals through robust reporting capabilities, and, ultimately, improve student outcomes.</w:t>
      </w:r>
    </w:p>
    <w:sectPr w:rsidR="00B23895" w:rsidRPr="00B23895" w:rsidSect="002C3589">
      <w:type w:val="continuous"/>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DC83E" w14:textId="77777777" w:rsidR="00827437" w:rsidRDefault="00827437" w:rsidP="00D167BF">
      <w:pPr>
        <w:spacing w:after="0" w:line="240" w:lineRule="auto"/>
      </w:pPr>
      <w:r>
        <w:separator/>
      </w:r>
    </w:p>
  </w:endnote>
  <w:endnote w:type="continuationSeparator" w:id="0">
    <w:p w14:paraId="0A2507FE" w14:textId="77777777" w:rsidR="00827437" w:rsidRDefault="00827437"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0E9D8" w14:textId="77777777" w:rsidR="00827437" w:rsidRDefault="00827437" w:rsidP="00D167BF">
      <w:pPr>
        <w:spacing w:after="0" w:line="240" w:lineRule="auto"/>
      </w:pPr>
      <w:r>
        <w:separator/>
      </w:r>
    </w:p>
  </w:footnote>
  <w:footnote w:type="continuationSeparator" w:id="0">
    <w:p w14:paraId="127818B0" w14:textId="77777777" w:rsidR="00827437" w:rsidRDefault="00827437"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25D78" w14:textId="77777777" w:rsidR="00187333" w:rsidRDefault="00187333">
    <w:pPr>
      <w:pStyle w:val="Header"/>
    </w:pPr>
  </w:p>
  <w:p w14:paraId="2D58BB82" w14:textId="5F6F6561" w:rsidR="00187333" w:rsidRDefault="00EA175C">
    <w:pPr>
      <w:pStyle w:val="Header"/>
    </w:pPr>
    <w:r>
      <w:rPr>
        <w:noProof/>
      </w:rPr>
      <w:drawing>
        <wp:anchor distT="0" distB="0" distL="114300" distR="114300" simplePos="0" relativeHeight="251656704" behindDoc="0" locked="0" layoutInCell="1" allowOverlap="1" wp14:anchorId="75E706B6" wp14:editId="5441127F">
          <wp:simplePos x="0" y="0"/>
          <wp:positionH relativeFrom="column">
            <wp:posOffset>5910580</wp:posOffset>
          </wp:positionH>
          <wp:positionV relativeFrom="paragraph">
            <wp:posOffset>23495</wp:posOffset>
          </wp:positionV>
          <wp:extent cx="979805" cy="4159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EBBEAA" w14:textId="2EFE5E9E" w:rsidR="000735AB" w:rsidRDefault="00B23895">
    <w:pPr>
      <w:pStyle w:val="Header"/>
    </w:pPr>
    <w:r>
      <w:t xml:space="preserve">Core Program Summary </w:t>
    </w:r>
    <w:r w:rsidR="000735AB">
      <w:t>–</w:t>
    </w:r>
    <w:r>
      <w:t xml:space="preserve"> </w:t>
    </w:r>
    <w:r w:rsidR="000735AB">
      <w:t>Into Reading</w:t>
    </w:r>
  </w:p>
  <w:p w14:paraId="5FED4279" w14:textId="77777777" w:rsidR="00187333" w:rsidRDefault="00187333">
    <w:pPr>
      <w:pStyle w:val="Header"/>
    </w:pPr>
  </w:p>
  <w:p w14:paraId="2C1C0455" w14:textId="0E5A26EE" w:rsidR="00187333" w:rsidRDefault="00EA175C">
    <w:pPr>
      <w:pStyle w:val="Header"/>
    </w:pPr>
    <w:r>
      <w:rPr>
        <w:noProof/>
      </w:rPr>
      <mc:AlternateContent>
        <mc:Choice Requires="wps">
          <w:drawing>
            <wp:anchor distT="4294967295" distB="4294967295" distL="114300" distR="114300" simplePos="0" relativeHeight="251657728" behindDoc="0" locked="0" layoutInCell="1" allowOverlap="1" wp14:anchorId="3AF96722" wp14:editId="0B8F2A65">
              <wp:simplePos x="0" y="0"/>
              <wp:positionH relativeFrom="column">
                <wp:posOffset>0</wp:posOffset>
              </wp:positionH>
              <wp:positionV relativeFrom="paragraph">
                <wp:posOffset>32384</wp:posOffset>
              </wp:positionV>
              <wp:extent cx="6889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DC3D396"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064D6" w14:textId="519B8774" w:rsidR="00187333" w:rsidRDefault="00EA175C">
    <w:pPr>
      <w:pStyle w:val="Header"/>
    </w:pPr>
    <w:r>
      <w:rPr>
        <w:noProof/>
      </w:rPr>
      <w:drawing>
        <wp:anchor distT="0" distB="0" distL="114300" distR="114300" simplePos="0" relativeHeight="251658752" behindDoc="1" locked="0" layoutInCell="1" allowOverlap="1" wp14:anchorId="0CF6564D" wp14:editId="2944DB3D">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1A2"/>
      </v:shape>
    </w:pict>
  </w:numPicBullet>
  <w:abstractNum w:abstractNumId="0" w15:restartNumberingAfterBreak="0">
    <w:nsid w:val="16E7445D"/>
    <w:multiLevelType w:val="hybridMultilevel"/>
    <w:tmpl w:val="EDF8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3009D"/>
    <w:multiLevelType w:val="hybridMultilevel"/>
    <w:tmpl w:val="5A6A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F31F23"/>
    <w:multiLevelType w:val="hybridMultilevel"/>
    <w:tmpl w:val="6D1C5E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2144B"/>
    <w:rsid w:val="00033BB1"/>
    <w:rsid w:val="00044750"/>
    <w:rsid w:val="000520B8"/>
    <w:rsid w:val="00052B92"/>
    <w:rsid w:val="000735AB"/>
    <w:rsid w:val="000F6114"/>
    <w:rsid w:val="0013025E"/>
    <w:rsid w:val="00187333"/>
    <w:rsid w:val="001908D7"/>
    <w:rsid w:val="001B36E2"/>
    <w:rsid w:val="001E41BB"/>
    <w:rsid w:val="00257B07"/>
    <w:rsid w:val="002C3589"/>
    <w:rsid w:val="002D3E62"/>
    <w:rsid w:val="002E4226"/>
    <w:rsid w:val="00351028"/>
    <w:rsid w:val="003B1526"/>
    <w:rsid w:val="00426C42"/>
    <w:rsid w:val="00431BA8"/>
    <w:rsid w:val="004433C7"/>
    <w:rsid w:val="004752A9"/>
    <w:rsid w:val="00501B31"/>
    <w:rsid w:val="0050220A"/>
    <w:rsid w:val="00523043"/>
    <w:rsid w:val="005877F1"/>
    <w:rsid w:val="0060452F"/>
    <w:rsid w:val="0064241A"/>
    <w:rsid w:val="0068432A"/>
    <w:rsid w:val="00685EDB"/>
    <w:rsid w:val="006879FC"/>
    <w:rsid w:val="0069309A"/>
    <w:rsid w:val="006A3AD3"/>
    <w:rsid w:val="006F0C5D"/>
    <w:rsid w:val="0070646C"/>
    <w:rsid w:val="00714CD2"/>
    <w:rsid w:val="007866B4"/>
    <w:rsid w:val="00805867"/>
    <w:rsid w:val="00827437"/>
    <w:rsid w:val="0086052E"/>
    <w:rsid w:val="00863B2A"/>
    <w:rsid w:val="008A390C"/>
    <w:rsid w:val="00913347"/>
    <w:rsid w:val="009442A5"/>
    <w:rsid w:val="00950687"/>
    <w:rsid w:val="00960A38"/>
    <w:rsid w:val="00996ADB"/>
    <w:rsid w:val="009D1B85"/>
    <w:rsid w:val="009E26A2"/>
    <w:rsid w:val="00A03769"/>
    <w:rsid w:val="00A15A0B"/>
    <w:rsid w:val="00A37AE5"/>
    <w:rsid w:val="00A50BC8"/>
    <w:rsid w:val="00A57CD3"/>
    <w:rsid w:val="00A65EDD"/>
    <w:rsid w:val="00A942D4"/>
    <w:rsid w:val="00AA4456"/>
    <w:rsid w:val="00AA4C44"/>
    <w:rsid w:val="00AA4FF6"/>
    <w:rsid w:val="00AF4FB7"/>
    <w:rsid w:val="00B07A12"/>
    <w:rsid w:val="00B13F91"/>
    <w:rsid w:val="00B23895"/>
    <w:rsid w:val="00B308BC"/>
    <w:rsid w:val="00B52FA2"/>
    <w:rsid w:val="00B6486C"/>
    <w:rsid w:val="00B97B79"/>
    <w:rsid w:val="00BD2C14"/>
    <w:rsid w:val="00C426F9"/>
    <w:rsid w:val="00C93292"/>
    <w:rsid w:val="00CD18A2"/>
    <w:rsid w:val="00D167BF"/>
    <w:rsid w:val="00D41CDA"/>
    <w:rsid w:val="00D55DD1"/>
    <w:rsid w:val="00D82CFD"/>
    <w:rsid w:val="00DD3E42"/>
    <w:rsid w:val="00DE123D"/>
    <w:rsid w:val="00DE7B5D"/>
    <w:rsid w:val="00E060F3"/>
    <w:rsid w:val="00E8179F"/>
    <w:rsid w:val="00E87C8C"/>
    <w:rsid w:val="00EA175C"/>
    <w:rsid w:val="00EC1ADE"/>
    <w:rsid w:val="00F8163B"/>
    <w:rsid w:val="00F860D7"/>
    <w:rsid w:val="00F952CB"/>
    <w:rsid w:val="00FF06C7"/>
    <w:rsid w:val="00FF562F"/>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D9ACF"/>
  <w15:chartTrackingRefBased/>
  <w15:docId w15:val="{C7885871-8853-4828-9932-8A6F5970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6F0C5D"/>
    <w:rPr>
      <w:color w:val="0563C1"/>
      <w:u w:val="single"/>
    </w:rPr>
  </w:style>
  <w:style w:type="character" w:styleId="UnresolvedMention">
    <w:name w:val="Unresolved Mention"/>
    <w:uiPriority w:val="99"/>
    <w:semiHidden/>
    <w:unhideWhenUsed/>
    <w:rsid w:val="006F0C5D"/>
    <w:rPr>
      <w:color w:val="605E5C"/>
      <w:shd w:val="clear" w:color="auto" w:fill="E1DFDD"/>
    </w:rPr>
  </w:style>
  <w:style w:type="paragraph" w:styleId="BalloonText">
    <w:name w:val="Balloon Text"/>
    <w:basedOn w:val="Normal"/>
    <w:link w:val="BalloonTextChar"/>
    <w:uiPriority w:val="99"/>
    <w:semiHidden/>
    <w:unhideWhenUsed/>
    <w:rsid w:val="002E42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4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218278">
      <w:bodyDiv w:val="1"/>
      <w:marLeft w:val="0"/>
      <w:marRight w:val="0"/>
      <w:marTop w:val="0"/>
      <w:marBottom w:val="0"/>
      <w:divBdr>
        <w:top w:val="none" w:sz="0" w:space="0" w:color="auto"/>
        <w:left w:val="none" w:sz="0" w:space="0" w:color="auto"/>
        <w:bottom w:val="none" w:sz="0" w:space="0" w:color="auto"/>
        <w:right w:val="none" w:sz="0" w:space="0" w:color="auto"/>
      </w:divBdr>
    </w:div>
    <w:div w:id="597249357">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ee.studer@hmhc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rish.eichhold@hmhco.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inne.hendricks@hmh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75B2F312CEF4B9DFD32BED50ACEE3" ma:contentTypeVersion="11" ma:contentTypeDescription="Create a new document." ma:contentTypeScope="" ma:versionID="b9abb36846bf9831429bc6ff6b214dc3">
  <xsd:schema xmlns:xsd="http://www.w3.org/2001/XMLSchema" xmlns:xs="http://www.w3.org/2001/XMLSchema" xmlns:p="http://schemas.microsoft.com/office/2006/metadata/properties" xmlns:ns3="80c9cfe5-9c5c-41fe-9ece-4ddfd991408d" xmlns:ns4="3daf01fd-73c0-4412-afae-17d1396a5b9a" targetNamespace="http://schemas.microsoft.com/office/2006/metadata/properties" ma:root="true" ma:fieldsID="545e76e1bb12b1ff6e79e2bc6a5cee6a" ns3:_="" ns4:_="">
    <xsd:import namespace="80c9cfe5-9c5c-41fe-9ece-4ddfd991408d"/>
    <xsd:import namespace="3daf01fd-73c0-4412-afae-17d1396a5b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9cfe5-9c5c-41fe-9ece-4ddfd99140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01fd-73c0-4412-afae-17d1396a5b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6AEB3-5268-4FFC-A9D6-2F3F1455B6C2}">
  <ds:schemaRefs>
    <ds:schemaRef ds:uri="http://schemas.microsoft.com/sharepoint/v3/contenttype/forms"/>
  </ds:schemaRefs>
</ds:datastoreItem>
</file>

<file path=customXml/itemProps2.xml><?xml version="1.0" encoding="utf-8"?>
<ds:datastoreItem xmlns:ds="http://schemas.openxmlformats.org/officeDocument/2006/customXml" ds:itemID="{BE7B852E-2CAF-4871-9A49-D52C3461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9cfe5-9c5c-41fe-9ece-4ddfd991408d"/>
    <ds:schemaRef ds:uri="3daf01fd-73c0-4412-afae-17d1396a5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0E87D-2D5B-40B7-A0BE-D71EDD898F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02A8FE-302E-4E5E-8826-86033F68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5817</CharactersWithSpaces>
  <SharedDoc>false</SharedDoc>
  <HLinks>
    <vt:vector size="18" baseType="variant">
      <vt:variant>
        <vt:i4>196639</vt:i4>
      </vt:variant>
      <vt:variant>
        <vt:i4>6</vt:i4>
      </vt:variant>
      <vt:variant>
        <vt:i4>0</vt:i4>
      </vt:variant>
      <vt:variant>
        <vt:i4>5</vt:i4>
      </vt:variant>
      <vt:variant>
        <vt:lpwstr>https://www.cde.state.co.us/coloradoliteracy</vt:lpwstr>
      </vt:variant>
      <vt:variant>
        <vt:lpwstr/>
      </vt:variant>
      <vt:variant>
        <vt:i4>720906</vt:i4>
      </vt:variant>
      <vt:variant>
        <vt:i4>3</vt:i4>
      </vt:variant>
      <vt:variant>
        <vt:i4>0</vt:i4>
      </vt:variant>
      <vt:variant>
        <vt:i4>5</vt:i4>
      </vt:variant>
      <vt:variant>
        <vt:lpwstr>https://www.cde.state.co.us/coloradoliteracy/readact/programming</vt:lpwstr>
      </vt:variant>
      <vt:variant>
        <vt:lpwstr/>
      </vt:variant>
      <vt:variant>
        <vt:i4>3145774</vt:i4>
      </vt:variant>
      <vt:variant>
        <vt:i4>0</vt:i4>
      </vt:variant>
      <vt:variant>
        <vt:i4>0</vt:i4>
      </vt:variant>
      <vt:variant>
        <vt:i4>5</vt:i4>
      </vt:variant>
      <vt:variant>
        <vt:lpwstr>https://www.cde.state.co.us/node/ 51125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Lyon, Nancy</cp:lastModifiedBy>
  <cp:revision>2</cp:revision>
  <dcterms:created xsi:type="dcterms:W3CDTF">2020-06-12T15:34:00Z</dcterms:created>
  <dcterms:modified xsi:type="dcterms:W3CDTF">2020-06-12T15:34:00Z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0x010100E6675B2F312CEF4B9DFD32BED50ACEE3</vt:lpwstr>
  </property>
</Properties>
</file>