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212C" w14:textId="1752CC6C" w:rsidR="00884765" w:rsidRDefault="008400ED" w:rsidP="00766870">
      <w:pPr>
        <w:pStyle w:val="Title"/>
      </w:pPr>
      <w:permStart w:id="89655179" w:edGrp="everyone"/>
      <w:permEnd w:id="89655179"/>
      <w:r>
        <w:t xml:space="preserve">Summary of 2022-23 </w:t>
      </w:r>
      <w:r w:rsidR="00F1034B">
        <w:t>mobility and stability</w:t>
      </w:r>
      <w:r w:rsidR="005F0982">
        <w:t xml:space="preserve"> </w:t>
      </w:r>
      <w:r w:rsidR="00F1034B">
        <w:t xml:space="preserve">data </w:t>
      </w:r>
      <w:r>
        <w:t>release</w:t>
      </w:r>
    </w:p>
    <w:p w14:paraId="0DE62268" w14:textId="646C74E7" w:rsidR="00B171D1" w:rsidRDefault="57A442E1" w:rsidP="000D6870">
      <w:pPr>
        <w:spacing w:after="240"/>
        <w:ind w:right="2880"/>
      </w:pPr>
      <w:r w:rsidRPr="65C5E914">
        <w:rPr>
          <w:rFonts w:asciiTheme="minorHAnsi" w:eastAsiaTheme="minorEastAsia" w:hAnsiTheme="minorHAnsi" w:cstheme="minorBidi"/>
          <w:color w:val="333333"/>
        </w:rPr>
        <w:t xml:space="preserve">The stability rate and mobility rates provide an analysis of how often students move or remain </w:t>
      </w:r>
      <w:r w:rsidR="0A002D6D" w:rsidRPr="65C5E914">
        <w:rPr>
          <w:rFonts w:asciiTheme="minorHAnsi" w:eastAsiaTheme="minorEastAsia" w:hAnsiTheme="minorHAnsi" w:cstheme="minorBidi"/>
          <w:color w:val="333333"/>
        </w:rPr>
        <w:t>within</w:t>
      </w:r>
      <w:r w:rsidRPr="65C5E914">
        <w:rPr>
          <w:rFonts w:asciiTheme="minorHAnsi" w:eastAsiaTheme="minorEastAsia" w:hAnsiTheme="minorHAnsi" w:cstheme="minorBidi"/>
          <w:color w:val="333333"/>
        </w:rPr>
        <w:t xml:space="preserve"> a school during a school year.  The rates are intended to provide a better understanding of students who remained at a school or district without interruption throughout the school year.</w:t>
      </w:r>
    </w:p>
    <w:p w14:paraId="0F0260FA" w14:textId="73E0B0A8" w:rsidR="0087461D" w:rsidRPr="00F452A0" w:rsidRDefault="00F1034B" w:rsidP="001A154F">
      <w:pPr>
        <w:pStyle w:val="Heading1"/>
      </w:pPr>
      <w:r>
        <w:t>Stability</w:t>
      </w:r>
      <w:r w:rsidR="0087461D" w:rsidRPr="00F452A0">
        <w:t xml:space="preserve"> </w:t>
      </w:r>
      <w:r w:rsidR="00016357">
        <w:t>rate</w:t>
      </w:r>
      <w:r w:rsidR="005F0982">
        <w:t>s</w:t>
      </w:r>
      <w:r w:rsidR="00016357">
        <w:t xml:space="preserve"> </w:t>
      </w:r>
      <w:r w:rsidR="00185832">
        <w:t>improved in 2022-23</w:t>
      </w:r>
    </w:p>
    <w:p w14:paraId="7594BE70" w14:textId="6279CCBF" w:rsidR="00D964BC" w:rsidRDefault="00D964BC" w:rsidP="001A154F">
      <w:pPr>
        <w:ind w:right="2880"/>
        <w:rPr>
          <w:rFonts w:eastAsia="Calibri" w:cs="Calibri"/>
          <w:color w:val="000000"/>
        </w:rPr>
      </w:pPr>
      <w:r w:rsidRPr="30E0F84E">
        <w:rPr>
          <w:rFonts w:eastAsia="Calibri" w:cs="Calibri"/>
          <w:color w:val="000000" w:themeColor="text1"/>
        </w:rPr>
        <w:t xml:space="preserve">Overall, </w:t>
      </w:r>
      <w:r w:rsidR="00F1034B" w:rsidRPr="30E0F84E">
        <w:rPr>
          <w:rFonts w:eastAsia="Calibri" w:cs="Calibri"/>
          <w:color w:val="000000" w:themeColor="text1"/>
        </w:rPr>
        <w:t>stability</w:t>
      </w:r>
      <w:r w:rsidRPr="30E0F84E">
        <w:rPr>
          <w:rFonts w:eastAsia="Calibri" w:cs="Calibri"/>
          <w:color w:val="000000" w:themeColor="text1"/>
        </w:rPr>
        <w:t xml:space="preserve"> rates in 2022-23 improved in comparison to 2021-22</w:t>
      </w:r>
      <w:r w:rsidR="00F1034B" w:rsidRPr="30E0F84E">
        <w:rPr>
          <w:rFonts w:eastAsia="Calibri" w:cs="Calibri"/>
          <w:color w:val="000000" w:themeColor="text1"/>
        </w:rPr>
        <w:t xml:space="preserve"> across</w:t>
      </w:r>
      <w:r w:rsidR="34407FDD" w:rsidRPr="30E0F84E">
        <w:rPr>
          <w:rFonts w:eastAsia="Calibri" w:cs="Calibri"/>
          <w:color w:val="000000" w:themeColor="text1"/>
        </w:rPr>
        <w:t xml:space="preserve"> </w:t>
      </w:r>
      <w:r w:rsidR="00F1034B" w:rsidRPr="30E0F84E">
        <w:rPr>
          <w:rFonts w:eastAsia="Calibri" w:cs="Calibri"/>
          <w:color w:val="000000" w:themeColor="text1"/>
        </w:rPr>
        <w:t>Colorado districts</w:t>
      </w:r>
      <w:r w:rsidRPr="30E0F84E">
        <w:rPr>
          <w:rFonts w:eastAsia="Calibri" w:cs="Calibri"/>
          <w:color w:val="000000" w:themeColor="text1"/>
        </w:rPr>
        <w:t>.</w:t>
      </w:r>
      <w:r w:rsidR="005A0EDA" w:rsidRPr="30E0F84E">
        <w:rPr>
          <w:rFonts w:eastAsia="Calibri" w:cs="Calibri"/>
          <w:color w:val="000000" w:themeColor="text1"/>
        </w:rPr>
        <w:t xml:space="preserve"> </w:t>
      </w:r>
      <w:r w:rsidRPr="30E0F84E">
        <w:rPr>
          <w:rFonts w:eastAsia="Calibri" w:cs="Calibri"/>
          <w:color w:val="000000" w:themeColor="text1"/>
        </w:rPr>
        <w:t xml:space="preserve">  </w:t>
      </w:r>
      <w:r>
        <w:br/>
      </w:r>
      <w:r w:rsidRPr="30E0F84E">
        <w:rPr>
          <w:rFonts w:eastAsia="Calibri" w:cs="Calibri"/>
          <w:color w:val="000000" w:themeColor="text1"/>
        </w:rPr>
        <w:t>This included:</w:t>
      </w:r>
    </w:p>
    <w:p w14:paraId="665AD7E1" w14:textId="795FCFF6" w:rsidR="00D964BC" w:rsidRDefault="00883CC4" w:rsidP="001A154F">
      <w:pPr>
        <w:numPr>
          <w:ilvl w:val="0"/>
          <w:numId w:val="11"/>
        </w:numPr>
        <w:ind w:right="2880"/>
        <w:rPr>
          <w:rFonts w:eastAsia="Calibri" w:cs="Calibri"/>
          <w:color w:val="000000"/>
        </w:rPr>
      </w:pPr>
      <w:r>
        <w:rPr>
          <w:rFonts w:eastAsia="Calibri" w:cs="Calibri"/>
          <w:color w:val="000000" w:themeColor="text1"/>
        </w:rPr>
        <w:t xml:space="preserve">121 </w:t>
      </w:r>
      <w:r w:rsidR="00F1034B" w:rsidRPr="30E0F84E">
        <w:rPr>
          <w:rFonts w:eastAsia="Calibri" w:cs="Calibri"/>
          <w:color w:val="000000" w:themeColor="text1"/>
        </w:rPr>
        <w:t>districts improved</w:t>
      </w:r>
      <w:r w:rsidR="00515891">
        <w:rPr>
          <w:rFonts w:eastAsia="Calibri" w:cs="Calibri"/>
          <w:color w:val="000000" w:themeColor="text1"/>
        </w:rPr>
        <w:t xml:space="preserve"> </w:t>
      </w:r>
      <w:r w:rsidR="004176AA">
        <w:rPr>
          <w:rFonts w:eastAsia="Calibri" w:cs="Calibri"/>
          <w:color w:val="000000" w:themeColor="text1"/>
        </w:rPr>
        <w:t>compared to the prior year</w:t>
      </w:r>
      <w:r w:rsidR="00515891">
        <w:rPr>
          <w:rFonts w:eastAsia="Calibri" w:cs="Calibri"/>
          <w:color w:val="000000" w:themeColor="text1"/>
        </w:rPr>
        <w:t>.</w:t>
      </w:r>
    </w:p>
    <w:p w14:paraId="2BA9EC8E" w14:textId="5DADDC84" w:rsidR="00CD1D92" w:rsidRDefault="0076560C" w:rsidP="001A154F">
      <w:pPr>
        <w:numPr>
          <w:ilvl w:val="0"/>
          <w:numId w:val="11"/>
        </w:numPr>
        <w:ind w:right="2880"/>
        <w:rPr>
          <w:rFonts w:eastAsia="Calibri" w:cs="Calibri"/>
          <w:color w:val="000000"/>
        </w:rPr>
      </w:pPr>
      <w:r>
        <w:rPr>
          <w:rFonts w:eastAsia="Calibri" w:cs="Calibri"/>
          <w:color w:val="000000" w:themeColor="text1"/>
        </w:rPr>
        <w:t>The a</w:t>
      </w:r>
      <w:r w:rsidR="00CD1D92" w:rsidRPr="30E0F84E">
        <w:rPr>
          <w:rFonts w:eastAsia="Calibri" w:cs="Calibri"/>
          <w:color w:val="000000" w:themeColor="text1"/>
        </w:rPr>
        <w:t xml:space="preserve">verage district stability </w:t>
      </w:r>
      <w:r>
        <w:rPr>
          <w:rFonts w:eastAsia="Calibri" w:cs="Calibri"/>
          <w:color w:val="000000" w:themeColor="text1"/>
        </w:rPr>
        <w:t xml:space="preserve">rate </w:t>
      </w:r>
      <w:r w:rsidR="00CD1D92" w:rsidRPr="30E0F84E">
        <w:rPr>
          <w:rFonts w:eastAsia="Calibri" w:cs="Calibri"/>
          <w:color w:val="000000" w:themeColor="text1"/>
        </w:rPr>
        <w:t>improved</w:t>
      </w:r>
      <w:r w:rsidR="004176AA">
        <w:rPr>
          <w:rFonts w:eastAsia="Calibri" w:cs="Calibri"/>
          <w:color w:val="000000" w:themeColor="text1"/>
        </w:rPr>
        <w:t xml:space="preserve"> compared to the prior year.</w:t>
      </w:r>
    </w:p>
    <w:p w14:paraId="5C55959C" w14:textId="5018BD3D" w:rsidR="00CD1D92" w:rsidRDefault="00515891" w:rsidP="001A154F">
      <w:pPr>
        <w:numPr>
          <w:ilvl w:val="0"/>
          <w:numId w:val="11"/>
        </w:numPr>
        <w:ind w:right="2880"/>
        <w:rPr>
          <w:rFonts w:eastAsia="Calibri" w:cs="Calibri"/>
          <w:color w:val="000000"/>
        </w:rPr>
      </w:pPr>
      <w:r>
        <w:rPr>
          <w:rFonts w:eastAsia="Calibri" w:cs="Calibri"/>
          <w:color w:val="000000" w:themeColor="text1"/>
        </w:rPr>
        <w:t xml:space="preserve">About 58% of schools improved their average stability rate </w:t>
      </w:r>
      <w:r w:rsidR="004176AA">
        <w:rPr>
          <w:rFonts w:eastAsia="Calibri" w:cs="Calibri"/>
          <w:color w:val="000000" w:themeColor="text1"/>
        </w:rPr>
        <w:t>compared to the prior year</w:t>
      </w:r>
      <w:r>
        <w:rPr>
          <w:rFonts w:eastAsia="Calibri" w:cs="Calibri"/>
          <w:color w:val="000000" w:themeColor="text1"/>
        </w:rPr>
        <w:t>.</w:t>
      </w:r>
    </w:p>
    <w:p w14:paraId="2CAE1051" w14:textId="7F488071" w:rsidR="00220EB5" w:rsidRPr="00F30E5F" w:rsidRDefault="00CD1D92" w:rsidP="00F30E5F">
      <w:pPr>
        <w:numPr>
          <w:ilvl w:val="0"/>
          <w:numId w:val="11"/>
        </w:numPr>
        <w:spacing w:after="240"/>
        <w:ind w:right="2880"/>
        <w:rPr>
          <w:rFonts w:eastAsia="Calibri" w:cs="Calibri"/>
          <w:color w:val="000000"/>
        </w:rPr>
      </w:pPr>
      <w:r w:rsidRPr="30E0F84E">
        <w:rPr>
          <w:rFonts w:eastAsia="Calibri" w:cs="Calibri"/>
          <w:color w:val="000000" w:themeColor="text1"/>
        </w:rPr>
        <w:t>Average school stability</w:t>
      </w:r>
      <w:r w:rsidR="004176AA">
        <w:rPr>
          <w:rFonts w:eastAsia="Calibri" w:cs="Calibri"/>
          <w:color w:val="000000" w:themeColor="text1"/>
        </w:rPr>
        <w:t xml:space="preserve"> improved compared to the prior year.</w:t>
      </w:r>
    </w:p>
    <w:p w14:paraId="7BABFFFF" w14:textId="70037B90" w:rsidR="00E72426" w:rsidRDefault="00FB2541" w:rsidP="009E7D5F">
      <w:pPr>
        <w:spacing w:after="240"/>
        <w:ind w:right="2880"/>
        <w:rPr>
          <w:rFonts w:eastAsia="Calibri" w:cs="Calibri"/>
          <w:color w:val="000000"/>
        </w:rPr>
      </w:pPr>
      <w:r w:rsidRPr="00FB2541">
        <w:rPr>
          <w:rFonts w:eastAsia="Calibri" w:cs="Calibri"/>
          <w:noProof/>
          <w:color w:val="000000"/>
        </w:rPr>
        <w:drawing>
          <wp:inline distT="0" distB="0" distL="0" distR="0" wp14:anchorId="50A82F0F" wp14:editId="00FAE189">
            <wp:extent cx="4297680" cy="1645920"/>
            <wp:effectExtent l="0" t="0" r="7620" b="11430"/>
            <wp:docPr id="1075099787" name="Chart 1" descr="Chart showing the trend in average district stability rate over the last six years. The average district stability rate increased from 87.9% in 2017-18 to 90.1% in 2022-23.">
              <a:extLst xmlns:a="http://schemas.openxmlformats.org/drawingml/2006/main">
                <a:ext uri="{FF2B5EF4-FFF2-40B4-BE49-F238E27FC236}">
                  <a16:creationId xmlns:a16="http://schemas.microsoft.com/office/drawing/2014/main" id="{FD53AD6D-4346-7878-CF6C-F5B9D5E5C7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EEBD6D4" w14:textId="544ACD15" w:rsidR="00A21AF4" w:rsidRDefault="00CD1D92" w:rsidP="004176AA">
      <w:pPr>
        <w:pStyle w:val="Heading2"/>
        <w:ind w:right="2880"/>
      </w:pPr>
      <w:r>
        <w:t xml:space="preserve">Mobility </w:t>
      </w:r>
      <w:r w:rsidR="009F5D04">
        <w:t xml:space="preserve">&amp; Mobility </w:t>
      </w:r>
      <w:r>
        <w:t>Incidence Rate</w:t>
      </w:r>
      <w:r w:rsidR="00220EB5">
        <w:t>s</w:t>
      </w:r>
    </w:p>
    <w:p w14:paraId="2CD216CB" w14:textId="225F072B" w:rsidR="00220EB5" w:rsidRDefault="494A36C4" w:rsidP="00F30E5F">
      <w:pPr>
        <w:spacing w:after="240"/>
        <w:ind w:right="2880"/>
      </w:pPr>
      <w:r>
        <w:t xml:space="preserve">Overall, the average school and district rates of mobility and mobility incidence declined in 2022-23, indicating that more </w:t>
      </w:r>
      <w:r w:rsidR="1C53AEB7">
        <w:t xml:space="preserve">districts have a more stable group of students and students on average had fewer mobility incidents or moves. </w:t>
      </w:r>
    </w:p>
    <w:p w14:paraId="4B9F1799" w14:textId="331F3EDB" w:rsidR="00D9606F" w:rsidRDefault="004B0BC2" w:rsidP="00A21AF4">
      <w:r w:rsidRPr="00FB2541">
        <w:rPr>
          <w:rFonts w:eastAsia="Calibri" w:cs="Calibri"/>
          <w:noProof/>
          <w:color w:val="000000"/>
        </w:rPr>
        <w:drawing>
          <wp:inline distT="0" distB="0" distL="0" distR="0" wp14:anchorId="50BB3358" wp14:editId="32A46128">
            <wp:extent cx="4297680" cy="1645920"/>
            <wp:effectExtent l="0" t="0" r="7620" b="11430"/>
            <wp:docPr id="803119540" name="Chart 803119540" descr="Chart showing the average district mobility incidence rate over the past six years. The average district mobility incidence rate has decreased from 12.9% in 2017-18 to 10.6% in 2022-23.">
              <a:extLst xmlns:a="http://schemas.openxmlformats.org/drawingml/2006/main">
                <a:ext uri="{FF2B5EF4-FFF2-40B4-BE49-F238E27FC236}">
                  <a16:creationId xmlns:a16="http://schemas.microsoft.com/office/drawing/2014/main" id="{FD53AD6D-4346-7878-CF6C-F5B9D5E5C7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4CE7E7" w14:textId="12C13A72" w:rsidR="006D5688" w:rsidRDefault="00E04D32" w:rsidP="00C15373">
      <w:pPr>
        <w:pStyle w:val="Heading2"/>
      </w:pPr>
      <w:r>
        <w:lastRenderedPageBreak/>
        <w:t>Subgroups</w:t>
      </w:r>
    </w:p>
    <w:p w14:paraId="28812394" w14:textId="36FE9402" w:rsidR="01AB4059" w:rsidRDefault="01AB4059" w:rsidP="000D6870">
      <w:pPr>
        <w:spacing w:line="259" w:lineRule="auto"/>
      </w:pPr>
      <w:r>
        <w:t>There are multiple student groups that have average mobility incidence rates at much higher rates than the general population</w:t>
      </w:r>
      <w:r w:rsidR="00E511E2">
        <w:t xml:space="preserve"> and some differences, although minimal</w:t>
      </w:r>
      <w:r w:rsidR="00220EB5">
        <w:t xml:space="preserve"> by grade level</w:t>
      </w:r>
      <w:r>
        <w:t>.  This includes:</w:t>
      </w:r>
    </w:p>
    <w:p w14:paraId="72B81063" w14:textId="61F5AEDB" w:rsidR="01AB4059" w:rsidRDefault="01AB4059" w:rsidP="000D6870">
      <w:pPr>
        <w:pStyle w:val="ListParagraph"/>
        <w:numPr>
          <w:ilvl w:val="0"/>
          <w:numId w:val="1"/>
        </w:numPr>
        <w:spacing w:line="259" w:lineRule="auto"/>
        <w:rPr>
          <w:szCs w:val="22"/>
        </w:rPr>
      </w:pPr>
      <w:r w:rsidRPr="30E0F84E">
        <w:rPr>
          <w:szCs w:val="22"/>
        </w:rPr>
        <w:t xml:space="preserve">Homeless students (34.2% compared to 10.6% </w:t>
      </w:r>
      <w:r w:rsidR="00B328B1">
        <w:rPr>
          <w:szCs w:val="22"/>
        </w:rPr>
        <w:t>all students</w:t>
      </w:r>
      <w:r w:rsidRPr="30E0F84E">
        <w:rPr>
          <w:szCs w:val="22"/>
        </w:rPr>
        <w:t>)</w:t>
      </w:r>
    </w:p>
    <w:p w14:paraId="684A9EA2" w14:textId="3B415501" w:rsidR="01AB4059" w:rsidRDefault="01AB4059" w:rsidP="000D6870">
      <w:pPr>
        <w:pStyle w:val="ListParagraph"/>
        <w:numPr>
          <w:ilvl w:val="0"/>
          <w:numId w:val="1"/>
        </w:numPr>
        <w:spacing w:line="259" w:lineRule="auto"/>
        <w:rPr>
          <w:szCs w:val="22"/>
        </w:rPr>
      </w:pPr>
      <w:r w:rsidRPr="30E0F84E">
        <w:rPr>
          <w:szCs w:val="22"/>
        </w:rPr>
        <w:t xml:space="preserve">Migrant students (28.0% compared to 10.6% </w:t>
      </w:r>
      <w:r w:rsidR="00B328B1">
        <w:rPr>
          <w:szCs w:val="22"/>
        </w:rPr>
        <w:t>all students</w:t>
      </w:r>
      <w:r w:rsidRPr="30E0F84E">
        <w:rPr>
          <w:szCs w:val="22"/>
        </w:rPr>
        <w:t>)</w:t>
      </w:r>
    </w:p>
    <w:p w14:paraId="4C788684" w14:textId="7F420EFE" w:rsidR="01AB4059" w:rsidRDefault="01AB4059" w:rsidP="000D6870">
      <w:pPr>
        <w:pStyle w:val="ListParagraph"/>
        <w:numPr>
          <w:ilvl w:val="0"/>
          <w:numId w:val="1"/>
        </w:numPr>
        <w:spacing w:line="259" w:lineRule="auto"/>
        <w:rPr>
          <w:szCs w:val="22"/>
        </w:rPr>
      </w:pPr>
      <w:r w:rsidRPr="30E0F84E">
        <w:rPr>
          <w:szCs w:val="22"/>
        </w:rPr>
        <w:t>Military connected (15.8</w:t>
      </w:r>
      <w:r w:rsidR="077F6B81" w:rsidRPr="30E0F84E">
        <w:rPr>
          <w:szCs w:val="22"/>
        </w:rPr>
        <w:t xml:space="preserve">% compared to 10.6% </w:t>
      </w:r>
      <w:r w:rsidR="00B328B1">
        <w:rPr>
          <w:szCs w:val="22"/>
        </w:rPr>
        <w:t>all students</w:t>
      </w:r>
      <w:r w:rsidR="077F6B81" w:rsidRPr="30E0F84E">
        <w:rPr>
          <w:szCs w:val="22"/>
        </w:rPr>
        <w:t>)</w:t>
      </w:r>
    </w:p>
    <w:p w14:paraId="78CA66A6" w14:textId="15ABCAC1" w:rsidR="009256FD" w:rsidRDefault="077F6B81" w:rsidP="009E7D5F">
      <w:pPr>
        <w:pStyle w:val="ListParagraph"/>
        <w:numPr>
          <w:ilvl w:val="0"/>
          <w:numId w:val="1"/>
        </w:numPr>
        <w:spacing w:after="240" w:line="259" w:lineRule="auto"/>
        <w:rPr>
          <w:szCs w:val="22"/>
        </w:rPr>
      </w:pPr>
      <w:r w:rsidRPr="30E0F84E">
        <w:rPr>
          <w:szCs w:val="22"/>
        </w:rPr>
        <w:t xml:space="preserve">English Learners (15.8% compared to 10.6% </w:t>
      </w:r>
      <w:r w:rsidR="00B328B1">
        <w:rPr>
          <w:szCs w:val="22"/>
        </w:rPr>
        <w:t>all students</w:t>
      </w:r>
      <w:r w:rsidRPr="30E0F84E">
        <w:rPr>
          <w:szCs w:val="22"/>
        </w:rPr>
        <w:t>)</w:t>
      </w:r>
    </w:p>
    <w:p w14:paraId="43AC390C" w14:textId="641E7405" w:rsidR="006B22FE" w:rsidRDefault="006B22FE" w:rsidP="006B22FE">
      <w:pPr>
        <w:pStyle w:val="Heading2"/>
      </w:pPr>
      <w:r>
        <w:t>Resources</w:t>
      </w:r>
    </w:p>
    <w:p w14:paraId="4F0AC32A" w14:textId="77777777" w:rsidR="00A65B93" w:rsidRDefault="00DA671C" w:rsidP="00A65B93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cs="Calibri"/>
          <w:color w:val="000000"/>
        </w:rPr>
      </w:pPr>
      <w:hyperlink r:id="rId13">
        <w:r w:rsidR="00A65B93" w:rsidRPr="30E0F84E">
          <w:rPr>
            <w:rStyle w:val="Hyperlink"/>
            <w:rFonts w:eastAsia="Calibri" w:cs="Calibri"/>
          </w:rPr>
          <w:t>CDE’s office of Dropout Prevention and Student Re-engagement</w:t>
        </w:r>
      </w:hyperlink>
      <w:r w:rsidR="00A65B93" w:rsidRPr="30E0F84E">
        <w:rPr>
          <w:rFonts w:eastAsia="Calibri" w:cs="Calibri"/>
          <w:color w:val="000000" w:themeColor="text1"/>
        </w:rPr>
        <w:t xml:space="preserve"> has compiled resources on evidence-based practices to improve attendance and promising practices from around the state.</w:t>
      </w:r>
    </w:p>
    <w:p w14:paraId="54B8FE97" w14:textId="7914343E" w:rsidR="7A993D3B" w:rsidRDefault="00DA671C" w:rsidP="30E0F84E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cs="Calibri"/>
          <w:szCs w:val="22"/>
        </w:rPr>
      </w:pPr>
      <w:hyperlink r:id="rId14">
        <w:r w:rsidR="7A993D3B" w:rsidRPr="30E0F84E">
          <w:rPr>
            <w:rStyle w:val="Hyperlink"/>
            <w:rFonts w:eastAsia="Calibri" w:cs="Calibri"/>
            <w:szCs w:val="22"/>
          </w:rPr>
          <w:t>CDE’s Office of Student Supports</w:t>
        </w:r>
      </w:hyperlink>
      <w:r w:rsidR="7A993D3B" w:rsidRPr="30E0F84E">
        <w:rPr>
          <w:rFonts w:eastAsia="Calibri" w:cs="Calibri"/>
          <w:color w:val="000000" w:themeColor="text1"/>
          <w:szCs w:val="22"/>
        </w:rPr>
        <w:t xml:space="preserve"> provides support to districts</w:t>
      </w:r>
      <w:r w:rsidR="7A993D3B" w:rsidRPr="30E0F84E">
        <w:rPr>
          <w:rFonts w:eastAsia="Calibri" w:cs="Calibri"/>
          <w:color w:val="333333"/>
          <w:szCs w:val="22"/>
        </w:rPr>
        <w:t xml:space="preserve"> focused on students and their families who encounter multiple vulnerabilities, including poverty, homelessness, and/or foster care</w:t>
      </w:r>
      <w:r w:rsidR="51BAAE41" w:rsidRPr="30E0F84E">
        <w:rPr>
          <w:rFonts w:eastAsia="Calibri" w:cs="Calibri"/>
          <w:color w:val="333333"/>
          <w:szCs w:val="22"/>
        </w:rPr>
        <w:t>.</w:t>
      </w:r>
    </w:p>
    <w:p w14:paraId="50884FF7" w14:textId="24AE4D4D" w:rsidR="51BAAE41" w:rsidRDefault="00DA671C" w:rsidP="30E0F84E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eastAsiaTheme="minorEastAsia" w:hAnsiTheme="minorHAnsi" w:cstheme="minorBidi"/>
          <w:szCs w:val="22"/>
        </w:rPr>
      </w:pPr>
      <w:hyperlink r:id="rId15">
        <w:r w:rsidR="51BAAE41" w:rsidRPr="30E0F84E">
          <w:rPr>
            <w:rStyle w:val="Hyperlink"/>
            <w:rFonts w:eastAsia="Calibri" w:cs="Calibri"/>
            <w:szCs w:val="22"/>
          </w:rPr>
          <w:t>CDE’s Migrant Education Office</w:t>
        </w:r>
      </w:hyperlink>
      <w:r w:rsidR="0CB6630A" w:rsidRPr="30E0F84E">
        <w:rPr>
          <w:rFonts w:eastAsia="Calibri" w:cs="Calibri"/>
          <w:color w:val="333333"/>
          <w:szCs w:val="22"/>
        </w:rPr>
        <w:t xml:space="preserve"> works to </w:t>
      </w:r>
      <w:r w:rsidR="498D668B" w:rsidRPr="30E0F84E">
        <w:rPr>
          <w:rFonts w:asciiTheme="minorHAnsi" w:eastAsiaTheme="minorEastAsia" w:hAnsiTheme="minorHAnsi" w:cstheme="minorBidi"/>
          <w:color w:val="333333"/>
          <w:szCs w:val="22"/>
        </w:rPr>
        <w:t>provide equitable resources and outcomes to ensure that all migrant children/youth are postsecondary and workforce ready and that all families are empowered to succeed.</w:t>
      </w:r>
    </w:p>
    <w:p w14:paraId="16C438CF" w14:textId="19F96BAB" w:rsidR="002B7237" w:rsidRPr="002B7237" w:rsidRDefault="00DA671C" w:rsidP="00A65B93">
      <w:pPr>
        <w:pStyle w:val="ListParagraph"/>
        <w:numPr>
          <w:ilvl w:val="0"/>
          <w:numId w:val="12"/>
        </w:numPr>
        <w:spacing w:after="160" w:line="259" w:lineRule="auto"/>
      </w:pPr>
      <w:hyperlink r:id="rId16">
        <w:r w:rsidR="00A65B93" w:rsidRPr="30E0F84E">
          <w:rPr>
            <w:rStyle w:val="Hyperlink"/>
            <w:rFonts w:eastAsia="Calibri" w:cs="Calibri"/>
          </w:rPr>
          <w:t>CDE’s Data Services team</w:t>
        </w:r>
      </w:hyperlink>
      <w:r w:rsidR="00A65B93" w:rsidRPr="30E0F84E">
        <w:rPr>
          <w:rFonts w:eastAsia="Calibri" w:cs="Calibri"/>
          <w:color w:val="000000" w:themeColor="text1"/>
        </w:rPr>
        <w:t xml:space="preserve"> collects and publishes annual </w:t>
      </w:r>
      <w:r w:rsidR="00F40BA0">
        <w:rPr>
          <w:rFonts w:eastAsia="Calibri" w:cs="Calibri"/>
          <w:color w:val="000000" w:themeColor="text1"/>
        </w:rPr>
        <w:t>mobility/stability</w:t>
      </w:r>
      <w:r w:rsidR="00A65B93" w:rsidRPr="30E0F84E">
        <w:rPr>
          <w:rFonts w:eastAsia="Calibri" w:cs="Calibri"/>
          <w:color w:val="000000" w:themeColor="text1"/>
        </w:rPr>
        <w:t xml:space="preserve"> data.</w:t>
      </w:r>
    </w:p>
    <w:sectPr w:rsidR="002B7237" w:rsidRPr="002B7237" w:rsidSect="00F36C7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1080" w:bottom="720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5F7A" w14:textId="77777777" w:rsidR="0063658A" w:rsidRDefault="0063658A" w:rsidP="00764158">
      <w:r>
        <w:separator/>
      </w:r>
    </w:p>
  </w:endnote>
  <w:endnote w:type="continuationSeparator" w:id="0">
    <w:p w14:paraId="5B9CDC21" w14:textId="77777777" w:rsidR="0063658A" w:rsidRDefault="0063658A" w:rsidP="00764158">
      <w:r>
        <w:continuationSeparator/>
      </w:r>
    </w:p>
  </w:endnote>
  <w:endnote w:type="continuationNotice" w:id="1">
    <w:p w14:paraId="75BEAD28" w14:textId="77777777" w:rsidR="0063658A" w:rsidRDefault="00636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B260" w14:textId="1CB5D859" w:rsidR="008B64D8" w:rsidRPr="00E741AE" w:rsidRDefault="008B64D8" w:rsidP="008B64D8">
    <w:pPr>
      <w:pStyle w:val="BasicParagraph"/>
      <w:rPr>
        <w:rFonts w:ascii="Museo Slab 500" w:hAnsi="Museo Slab 500" w:cs="Calibri"/>
        <w:color w:val="5D6770"/>
      </w:rPr>
    </w:pPr>
    <w:r w:rsidRPr="00E741AE">
      <w:rPr>
        <w:rFonts w:ascii="Museo Slab 500" w:hAnsi="Museo Slab 500" w:cs="PalatinoLinotype-Bold"/>
        <w:bCs/>
        <w:color w:val="5D6770"/>
      </w:rPr>
      <w:t>Colorado Department of Education</w:t>
    </w:r>
    <w:r w:rsidRPr="00E741AE">
      <w:rPr>
        <w:color w:val="5D6770"/>
        <w:sz w:val="18"/>
        <w:szCs w:val="18"/>
      </w:rPr>
      <w:t xml:space="preserve"> </w:t>
    </w:r>
    <w:r w:rsidRPr="00E741AE">
      <w:rPr>
        <w:color w:val="5D6770"/>
        <w:sz w:val="18"/>
        <w:szCs w:val="18"/>
      </w:rPr>
      <w:tab/>
    </w:r>
    <w:r w:rsidRPr="00E741AE">
      <w:rPr>
        <w:color w:val="5D6770"/>
        <w:sz w:val="18"/>
        <w:szCs w:val="18"/>
      </w:rPr>
      <w:tab/>
    </w:r>
    <w:r w:rsidRPr="00E741AE">
      <w:rPr>
        <w:color w:val="5D6770"/>
        <w:sz w:val="18"/>
        <w:szCs w:val="18"/>
      </w:rPr>
      <w:tab/>
    </w:r>
    <w:r w:rsidRPr="00E741AE">
      <w:rPr>
        <w:color w:val="5D6770"/>
        <w:sz w:val="18"/>
        <w:szCs w:val="18"/>
      </w:rPr>
      <w:tab/>
    </w:r>
    <w:r w:rsidRPr="00E741AE">
      <w:rPr>
        <w:color w:val="5D6770"/>
        <w:sz w:val="18"/>
        <w:szCs w:val="18"/>
      </w:rPr>
      <w:tab/>
    </w:r>
    <w:r w:rsidRPr="00E741AE">
      <w:rPr>
        <w:color w:val="5D6770"/>
        <w:sz w:val="18"/>
        <w:szCs w:val="18"/>
      </w:rPr>
      <w:tab/>
    </w:r>
    <w:r w:rsidRPr="00E741AE">
      <w:rPr>
        <w:color w:val="5D6770"/>
        <w:sz w:val="18"/>
        <w:szCs w:val="18"/>
      </w:rPr>
      <w:tab/>
    </w:r>
    <w:r w:rsidRPr="00E741AE">
      <w:rPr>
        <w:color w:val="5D6770"/>
        <w:sz w:val="18"/>
        <w:szCs w:val="18"/>
      </w:rPr>
      <w:tab/>
    </w:r>
    <w:r w:rsidR="00F2315D">
      <w:rPr>
        <w:rFonts w:ascii="Trebuchet MS" w:hAnsi="Trebuchet MS"/>
        <w:color w:val="5D6770"/>
        <w:sz w:val="18"/>
        <w:szCs w:val="18"/>
      </w:rPr>
      <w:t>JANUARY 2024</w:t>
    </w:r>
  </w:p>
  <w:p w14:paraId="058B460F" w14:textId="055D41F3" w:rsidR="00320356" w:rsidRPr="008B64D8" w:rsidRDefault="008B64D8" w:rsidP="008B64D8">
    <w:pPr>
      <w:pStyle w:val="Footer"/>
      <w:rPr>
        <w:color w:val="5D6770"/>
      </w:rPr>
    </w:pPr>
    <w:r w:rsidRPr="00E741AE">
      <w:rPr>
        <w:rFonts w:cs="Calibri"/>
        <w:color w:val="5D6770"/>
        <w:sz w:val="18"/>
        <w:szCs w:val="18"/>
      </w:rPr>
      <w:t>201 E. Colfax Ave., Denver, CO 80203</w:t>
    </w:r>
    <w:r w:rsidRPr="00E741AE">
      <w:rPr>
        <w:rFonts w:cs="Calibri"/>
        <w:color w:val="5D6770"/>
        <w:sz w:val="18"/>
        <w:szCs w:val="18"/>
      </w:rPr>
      <w:tab/>
    </w:r>
    <w:r w:rsidRPr="00E741AE">
      <w:rPr>
        <w:rFonts w:cs="Calibri"/>
        <w:color w:val="5D677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7F4F" w14:textId="7953B5CA" w:rsidR="005E3BA8" w:rsidRPr="008B64D8" w:rsidRDefault="00F2315D" w:rsidP="0032035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F45C" w14:textId="77777777" w:rsidR="0063658A" w:rsidRDefault="0063658A" w:rsidP="00764158">
      <w:r>
        <w:separator/>
      </w:r>
    </w:p>
  </w:footnote>
  <w:footnote w:type="continuationSeparator" w:id="0">
    <w:p w14:paraId="16BA5837" w14:textId="77777777" w:rsidR="0063658A" w:rsidRDefault="0063658A" w:rsidP="00764158">
      <w:r>
        <w:continuationSeparator/>
      </w:r>
    </w:p>
  </w:footnote>
  <w:footnote w:type="continuationNotice" w:id="1">
    <w:p w14:paraId="225C4CF1" w14:textId="77777777" w:rsidR="0063658A" w:rsidRDefault="00636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7681" w14:textId="6A11E79E" w:rsidR="00B83063" w:rsidRDefault="007A6945" w:rsidP="00D35F93">
    <w:pPr>
      <w:pStyle w:val="Header"/>
      <w:tabs>
        <w:tab w:val="clear" w:pos="4320"/>
        <w:tab w:val="clear" w:pos="8640"/>
        <w:tab w:val="left" w:pos="5400"/>
      </w:tabs>
    </w:pPr>
    <w:r>
      <w:rPr>
        <w:noProof/>
      </w:rPr>
      <w:drawing>
        <wp:inline distT="0" distB="0" distL="0" distR="0" wp14:anchorId="4E400898" wp14:editId="5F4B015D">
          <wp:extent cx="1085850" cy="457200"/>
          <wp:effectExtent l="0" t="0" r="0" b="0"/>
          <wp:docPr id="67" name="Picture 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0B4">
      <w:rPr>
        <w:rFonts w:ascii="Trebuchet MS" w:hAnsi="Trebuchet MS"/>
        <w:b/>
        <w:bCs/>
        <w:color w:val="5D6770"/>
        <w:sz w:val="18"/>
        <w:szCs w:val="18"/>
      </w:rPr>
      <w:tab/>
      <w:t xml:space="preserve">2022-23 </w:t>
    </w:r>
    <w:r w:rsidR="00D35F93">
      <w:rPr>
        <w:rFonts w:ascii="Trebuchet MS" w:hAnsi="Trebuchet MS"/>
        <w:b/>
        <w:bCs/>
        <w:color w:val="5D6770"/>
        <w:sz w:val="18"/>
        <w:szCs w:val="18"/>
      </w:rPr>
      <w:t>Graduation/Completion</w:t>
    </w:r>
    <w:r w:rsidR="009E40B4">
      <w:rPr>
        <w:rFonts w:ascii="Trebuchet MS" w:hAnsi="Trebuchet MS"/>
        <w:b/>
        <w:bCs/>
        <w:color w:val="5D6770"/>
        <w:sz w:val="18"/>
        <w:szCs w:val="18"/>
      </w:rPr>
      <w:t xml:space="preserve"> Release Summary</w:t>
    </w:r>
    <w:r w:rsidR="00680A43" w:rsidRPr="009E40B4">
      <w:rPr>
        <w:rFonts w:ascii="Trebuchet MS" w:hAnsi="Trebuchet MS"/>
        <w:b/>
        <w:bCs/>
        <w:color w:val="919BA5"/>
        <w:sz w:val="18"/>
        <w:szCs w:val="18"/>
      </w:rPr>
      <w:t xml:space="preserve">     </w:t>
    </w:r>
    <w:r w:rsidR="00D31D03" w:rsidRPr="009E40B4">
      <w:rPr>
        <w:rFonts w:ascii="Trebuchet MS" w:hAnsi="Trebuchet MS"/>
        <w:b/>
        <w:color w:val="5D6770"/>
        <w:szCs w:val="20"/>
      </w:rPr>
      <w:fldChar w:fldCharType="begin"/>
    </w:r>
    <w:r w:rsidR="00D31D03" w:rsidRPr="009E40B4">
      <w:rPr>
        <w:rFonts w:ascii="Trebuchet MS" w:hAnsi="Trebuchet MS"/>
        <w:b/>
        <w:color w:val="5D6770"/>
        <w:szCs w:val="20"/>
      </w:rPr>
      <w:instrText xml:space="preserve"> PAGE   \* MERGEFORMAT </w:instrText>
    </w:r>
    <w:r w:rsidR="00D31D03" w:rsidRPr="009E40B4">
      <w:rPr>
        <w:rFonts w:ascii="Trebuchet MS" w:hAnsi="Trebuchet MS"/>
        <w:b/>
        <w:color w:val="5D6770"/>
        <w:szCs w:val="20"/>
      </w:rPr>
      <w:fldChar w:fldCharType="separate"/>
    </w:r>
    <w:r w:rsidR="00680A43" w:rsidRPr="009E40B4">
      <w:rPr>
        <w:rFonts w:ascii="Trebuchet MS" w:hAnsi="Trebuchet MS"/>
        <w:b/>
        <w:noProof/>
        <w:color w:val="5D6770"/>
        <w:szCs w:val="20"/>
      </w:rPr>
      <w:t>2</w:t>
    </w:r>
    <w:r w:rsidR="00D31D03" w:rsidRPr="009E40B4">
      <w:rPr>
        <w:rFonts w:ascii="Trebuchet MS" w:hAnsi="Trebuchet MS"/>
        <w:b/>
        <w:color w:val="5D6770"/>
        <w:szCs w:val="20"/>
      </w:rPr>
      <w:fldChar w:fldCharType="end"/>
    </w:r>
  </w:p>
  <w:p w14:paraId="2F3DFFD1" w14:textId="77777777" w:rsidR="00B83063" w:rsidRDefault="00DA671C" w:rsidP="00B83063">
    <w:pPr>
      <w:pStyle w:val="Header"/>
      <w:tabs>
        <w:tab w:val="clear" w:pos="4320"/>
        <w:tab w:val="clear" w:pos="8640"/>
        <w:tab w:val="left" w:pos="4373"/>
      </w:tabs>
    </w:pPr>
    <w:r>
      <w:pict w14:anchorId="09968B3C">
        <v:rect id="_x0000_i1025" style="width:540pt;height:1pt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1C86" w14:textId="52E3B450" w:rsidR="00C12323" w:rsidRDefault="00FA6CFC" w:rsidP="00630F54">
    <w:pPr>
      <w:pStyle w:val="Header"/>
      <w:tabs>
        <w:tab w:val="clear" w:pos="8640"/>
        <w:tab w:val="left" w:pos="8492"/>
      </w:tabs>
    </w:pPr>
    <w:r w:rsidRPr="0005455B">
      <w:rPr>
        <w:rFonts w:ascii="Museo Slab 500" w:hAnsi="Museo Slab 500"/>
        <w:noProof/>
        <w:sz w:val="36"/>
        <w:szCs w:val="36"/>
      </w:rPr>
      <w:drawing>
        <wp:inline distT="0" distB="0" distL="0" distR="0" wp14:anchorId="15AC2BE7" wp14:editId="5E6416CD">
          <wp:extent cx="2847975" cy="476250"/>
          <wp:effectExtent l="0" t="0" r="0" b="0"/>
          <wp:docPr id="2" name="Picture 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67A4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B213CD5" wp14:editId="2D452C00">
              <wp:simplePos x="0" y="0"/>
              <wp:positionH relativeFrom="column">
                <wp:posOffset>4565650</wp:posOffset>
              </wp:positionH>
              <wp:positionV relativeFrom="page">
                <wp:posOffset>-11430</wp:posOffset>
              </wp:positionV>
              <wp:extent cx="2514600" cy="10058400"/>
              <wp:effectExtent l="38100" t="19050" r="38100" b="5715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0" cy="10058400"/>
                      </a:xfrm>
                      <a:prstGeom prst="rect">
                        <a:avLst/>
                      </a:prstGeom>
                      <a:solidFill>
                        <a:srgbClr val="D0D2D3"/>
                      </a:solidFill>
                      <a:ln w="10000" cap="flat" cmpd="sng" algn="ctr">
                        <a:noFill/>
                        <a:prstDash val="solid"/>
                      </a:ln>
                      <a:effectLst>
                        <a:outerShdw blurRad="31750" dist="25400" dir="5400000" rotWithShape="0">
                          <a:srgbClr val="000000">
                            <a:alpha val="50000"/>
                          </a:srgbClr>
                        </a:outerShdw>
                      </a:effectLst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AE33119" w14:textId="7160157B" w:rsidR="00630F54" w:rsidRDefault="00F1034B" w:rsidP="00630F54">
                          <w:pPr>
                            <w:pStyle w:val="Heading2"/>
                            <w:spacing w:after="240"/>
                          </w:pPr>
                          <w:r>
                            <w:t>Mobility/Stability</w:t>
                          </w:r>
                          <w:r w:rsidR="00630F54">
                            <w:t xml:space="preserve"> Definitions:</w:t>
                          </w:r>
                        </w:p>
                        <w:p w14:paraId="48DF4D1F" w14:textId="5DEF73A0" w:rsidR="00630F54" w:rsidRDefault="00F1034B" w:rsidP="00630F54">
                          <w:r>
                            <w:t>Stable Student</w:t>
                          </w:r>
                          <w:r w:rsidR="00630F54">
                            <w:t xml:space="preserve"> – </w:t>
                          </w:r>
                          <w:r w:rsidR="00C41C33">
                            <w:t xml:space="preserve">Student who remains </w:t>
                          </w:r>
                          <w:r w:rsidR="00F07D02">
                            <w:t xml:space="preserve">in a district or school without interruption throughout the academic year. </w:t>
                          </w:r>
                        </w:p>
                        <w:p w14:paraId="399E6B37" w14:textId="77777777" w:rsidR="00630F54" w:rsidRDefault="00630F54" w:rsidP="00630F54"/>
                        <w:p w14:paraId="7720CE4A" w14:textId="77777777" w:rsidR="00522C18" w:rsidRDefault="00F1034B" w:rsidP="00630F54">
                          <w:r>
                            <w:t>Mobility Instance</w:t>
                          </w:r>
                          <w:r w:rsidR="00F07D02">
                            <w:t xml:space="preserve"> – </w:t>
                          </w:r>
                          <w:r w:rsidR="00762715">
                            <w:t>Each time a student experiences an unanticipated movement within the academic year</w:t>
                          </w:r>
                          <w:r w:rsidR="00BA6B1F">
                            <w:t xml:space="preserve"> such as entering or leaving a school or district. Instances of mobility are </w:t>
                          </w:r>
                          <w:r w:rsidR="00522C18">
                            <w:t>counted as of October 1</w:t>
                          </w:r>
                          <w:r w:rsidR="00522C18" w:rsidRPr="00522C18">
                            <w:rPr>
                              <w:vertAlign w:val="superscript"/>
                            </w:rPr>
                            <w:t>st</w:t>
                          </w:r>
                          <w:r w:rsidR="00522C18">
                            <w:t xml:space="preserve"> each year. </w:t>
                          </w:r>
                        </w:p>
                        <w:p w14:paraId="76D070CE" w14:textId="77777777" w:rsidR="00522C18" w:rsidRDefault="00522C18" w:rsidP="00630F54"/>
                        <w:p w14:paraId="21A8F936" w14:textId="6B31CCB0" w:rsidR="009256FD" w:rsidRDefault="00522C18" w:rsidP="00630F54">
                          <w:r>
                            <w:t>Mobile Student – A student who experiences at least one instance of mobility during the academic year.</w:t>
                          </w:r>
                        </w:p>
                        <w:p w14:paraId="58F528A0" w14:textId="77777777" w:rsidR="009256FD" w:rsidRDefault="009256FD" w:rsidP="00630F54"/>
                        <w:p w14:paraId="5AAF26D6" w14:textId="0B9BFBA7" w:rsidR="009256FD" w:rsidRDefault="00F1034B" w:rsidP="00630F54">
                          <w:r>
                            <w:t>Membership Base</w:t>
                          </w:r>
                          <w:r w:rsidR="009256FD">
                            <w:t xml:space="preserve"> – </w:t>
                          </w:r>
                          <w:r w:rsidR="00522C18">
                            <w:t>The count of all K-12 students who are in membership in a school or district during the academic year.</w:t>
                          </w:r>
                        </w:p>
                        <w:p w14:paraId="79361E74" w14:textId="77777777" w:rsidR="00630F54" w:rsidRDefault="00630F54" w:rsidP="00630F54"/>
                        <w:p w14:paraId="75CEA117" w14:textId="7797BE20" w:rsidR="00630F54" w:rsidRDefault="00F1034B" w:rsidP="009256FD">
                          <w:r>
                            <w:t>Stability Rate</w:t>
                          </w:r>
                          <w:r w:rsidR="00630F54">
                            <w:t xml:space="preserve"> – </w:t>
                          </w:r>
                          <w:r w:rsidR="00522C18">
                            <w:t>Number of stable students (unduplicated) divided by the K-12 membership base.</w:t>
                          </w:r>
                        </w:p>
                        <w:p w14:paraId="677512C1" w14:textId="77777777" w:rsidR="009256FD" w:rsidRDefault="009256FD" w:rsidP="009256FD"/>
                        <w:p w14:paraId="483DA25C" w14:textId="325344D2" w:rsidR="009256FD" w:rsidRDefault="00F1034B" w:rsidP="009256FD">
                          <w:r>
                            <w:t>Mobility</w:t>
                          </w:r>
                          <w:r w:rsidR="009256FD">
                            <w:t xml:space="preserve"> Rate –</w:t>
                          </w:r>
                          <w:r w:rsidR="00DC46C3">
                            <w:t xml:space="preserve"> Number of mobile students (unduplicated) divided by the K-12 membership base.</w:t>
                          </w:r>
                        </w:p>
                        <w:p w14:paraId="1DEA0424" w14:textId="77777777" w:rsidR="009256FD" w:rsidRDefault="009256FD" w:rsidP="009256FD"/>
                        <w:p w14:paraId="4CF2F698" w14:textId="5DD5D720" w:rsidR="009256FD" w:rsidRDefault="00F1034B" w:rsidP="009256FD">
                          <w:r>
                            <w:t>Mobility Incidence</w:t>
                          </w:r>
                          <w:r w:rsidR="009256FD">
                            <w:t xml:space="preserve"> Rate – </w:t>
                          </w:r>
                          <w:r w:rsidR="00DC46C3">
                            <w:t>Number of instances of mobility (duplicated student count) divided by the K-12 membership base.</w:t>
                          </w:r>
                        </w:p>
                        <w:p w14:paraId="620EB631" w14:textId="77777777" w:rsidR="009256FD" w:rsidRDefault="009256FD" w:rsidP="009256FD"/>
                        <w:p w14:paraId="1306D6AF" w14:textId="77777777" w:rsidR="00630F54" w:rsidRDefault="00630F54" w:rsidP="00630F54"/>
                        <w:p w14:paraId="0866BDA3" w14:textId="7D1F720E" w:rsidR="00630F54" w:rsidRDefault="00DA671C" w:rsidP="00630F54">
                          <w:pPr>
                            <w:jc w:val="center"/>
                            <w:rPr>
                              <w:rStyle w:val="Hyperlink"/>
                            </w:rPr>
                          </w:pPr>
                          <w:hyperlink r:id="rId2" w:history="1">
                            <w:r w:rsidR="00630F54" w:rsidRPr="00D91F59">
                              <w:rPr>
                                <w:rStyle w:val="Hyperlink"/>
                              </w:rPr>
                              <w:t>Dropout Prevention and Student Reengagement</w:t>
                            </w:r>
                          </w:hyperlink>
                        </w:p>
                        <w:p w14:paraId="2548FC77" w14:textId="77777777" w:rsidR="002533A0" w:rsidRDefault="002533A0" w:rsidP="00630F54">
                          <w:pPr>
                            <w:jc w:val="center"/>
                            <w:rPr>
                              <w:rStyle w:val="Hyperlink"/>
                            </w:rPr>
                          </w:pPr>
                        </w:p>
                        <w:p w14:paraId="2F6394E5" w14:textId="21BD6D7E" w:rsidR="002533A0" w:rsidRDefault="00DA671C" w:rsidP="00630F54">
                          <w:pPr>
                            <w:jc w:val="center"/>
                            <w:rPr>
                              <w:rStyle w:val="Hyperlink"/>
                            </w:rPr>
                          </w:pPr>
                          <w:hyperlink r:id="rId3" w:history="1">
                            <w:r w:rsidR="002533A0" w:rsidRPr="002533A0">
                              <w:rPr>
                                <w:rStyle w:val="Hyperlink"/>
                              </w:rPr>
                              <w:t>Office of Student Support</w:t>
                            </w:r>
                          </w:hyperlink>
                        </w:p>
                        <w:p w14:paraId="0A091373" w14:textId="77777777" w:rsidR="002533A0" w:rsidRDefault="002533A0" w:rsidP="00630F54">
                          <w:pPr>
                            <w:jc w:val="center"/>
                            <w:rPr>
                              <w:rStyle w:val="Hyperlink"/>
                            </w:rPr>
                          </w:pPr>
                        </w:p>
                        <w:p w14:paraId="2D2DA1C6" w14:textId="5A0CCCB0" w:rsidR="002533A0" w:rsidRDefault="00DA671C" w:rsidP="00630F54">
                          <w:pPr>
                            <w:jc w:val="center"/>
                            <w:rPr>
                              <w:rStyle w:val="Hyperlink"/>
                            </w:rPr>
                          </w:pPr>
                          <w:hyperlink r:id="rId4" w:history="1">
                            <w:r w:rsidR="002533A0" w:rsidRPr="002533A0">
                              <w:rPr>
                                <w:rStyle w:val="Hyperlink"/>
                              </w:rPr>
                              <w:t>Migrant Education office</w:t>
                            </w:r>
                          </w:hyperlink>
                        </w:p>
                        <w:p w14:paraId="00FF5DC3" w14:textId="77777777" w:rsidR="00E977BA" w:rsidRDefault="00E977BA" w:rsidP="00630F54">
                          <w:pPr>
                            <w:jc w:val="center"/>
                            <w:rPr>
                              <w:rStyle w:val="Hyperlink"/>
                            </w:rPr>
                          </w:pPr>
                        </w:p>
                        <w:p w14:paraId="66620C24" w14:textId="26E2CC81" w:rsidR="00E977BA" w:rsidRDefault="00DA671C" w:rsidP="00630F54">
                          <w:pPr>
                            <w:jc w:val="center"/>
                          </w:pPr>
                          <w:hyperlink r:id="rId5" w:history="1">
                            <w:r w:rsidR="00E977BA" w:rsidRPr="00E977BA">
                              <w:rPr>
                                <w:rStyle w:val="Hyperlink"/>
                              </w:rPr>
                              <w:t>Mobility/Stability Statistics Website</w:t>
                            </w:r>
                          </w:hyperlink>
                        </w:p>
                        <w:p w14:paraId="38D92061" w14:textId="77777777" w:rsidR="00406BDE" w:rsidRDefault="00406BDE" w:rsidP="00630F54">
                          <w:pPr>
                            <w:jc w:val="center"/>
                          </w:pPr>
                        </w:p>
                        <w:p w14:paraId="6885C352" w14:textId="6A41E4CD" w:rsidR="00630F54" w:rsidRPr="00BE17AC" w:rsidRDefault="00630F54" w:rsidP="00630F54">
                          <w:pPr>
                            <w:jc w:val="center"/>
                          </w:pPr>
                        </w:p>
                        <w:p w14:paraId="3F49A518" w14:textId="77777777" w:rsidR="004267A4" w:rsidRDefault="004267A4" w:rsidP="004267A4"/>
                      </w:txbxContent>
                    </wps:txbx>
                    <wps:bodyPr rot="0" spcFirstLastPara="0" vertOverflow="overflow" horzOverflow="overflow" vert="horz" wrap="square" lIns="182880" tIns="0" rIns="18288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13CD5" id="Rectangle 1" o:spid="_x0000_s1026" alt="&quot;&quot;" style="position:absolute;margin-left:359.5pt;margin-top:-.9pt;width:198pt;height:1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" fillcolor="#d0d2d3" stroked="f" strokeweight=".27778mm">
              <v:shadow on="t" color="black" opacity=".5" origin=",.5" offset="0"/>
              <v:textbox inset="14.4pt,0,14.4pt,0">
                <w:txbxContent>
                  <w:p w14:paraId="0AE33119" w14:textId="7160157B" w:rsidR="00630F54" w:rsidRDefault="00F1034B" w:rsidP="00630F54">
                    <w:pPr>
                      <w:pStyle w:val="Heading2"/>
                      <w:spacing w:after="240"/>
                    </w:pPr>
                    <w:r>
                      <w:t>Mobility/Stability</w:t>
                    </w:r>
                    <w:r w:rsidR="00630F54">
                      <w:t xml:space="preserve"> Definitions:</w:t>
                    </w:r>
                  </w:p>
                  <w:p w14:paraId="48DF4D1F" w14:textId="5DEF73A0" w:rsidR="00630F54" w:rsidRDefault="00F1034B" w:rsidP="00630F54">
                    <w:r>
                      <w:t>Stable Student</w:t>
                    </w:r>
                    <w:r w:rsidR="00630F54">
                      <w:t xml:space="preserve"> – </w:t>
                    </w:r>
                    <w:r w:rsidR="00C41C33">
                      <w:t xml:space="preserve">Student who remains </w:t>
                    </w:r>
                    <w:r w:rsidR="00F07D02">
                      <w:t xml:space="preserve">in a district or school without interruption throughout the academic year. </w:t>
                    </w:r>
                  </w:p>
                  <w:p w14:paraId="399E6B37" w14:textId="77777777" w:rsidR="00630F54" w:rsidRDefault="00630F54" w:rsidP="00630F54"/>
                  <w:p w14:paraId="7720CE4A" w14:textId="77777777" w:rsidR="00522C18" w:rsidRDefault="00F1034B" w:rsidP="00630F54">
                    <w:r>
                      <w:t>Mobility Instance</w:t>
                    </w:r>
                    <w:r w:rsidR="00F07D02">
                      <w:t xml:space="preserve"> – </w:t>
                    </w:r>
                    <w:r w:rsidR="00762715">
                      <w:t>Each time a student experiences an unanticipated movement within the academic year</w:t>
                    </w:r>
                    <w:r w:rsidR="00BA6B1F">
                      <w:t xml:space="preserve"> such as entering or leaving a school or district. Instances of mobility are </w:t>
                    </w:r>
                    <w:r w:rsidR="00522C18">
                      <w:t>counted as of October 1</w:t>
                    </w:r>
                    <w:r w:rsidR="00522C18" w:rsidRPr="00522C18">
                      <w:rPr>
                        <w:vertAlign w:val="superscript"/>
                      </w:rPr>
                      <w:t>st</w:t>
                    </w:r>
                    <w:r w:rsidR="00522C18">
                      <w:t xml:space="preserve"> each year. </w:t>
                    </w:r>
                  </w:p>
                  <w:p w14:paraId="76D070CE" w14:textId="77777777" w:rsidR="00522C18" w:rsidRDefault="00522C18" w:rsidP="00630F54"/>
                  <w:p w14:paraId="21A8F936" w14:textId="6B31CCB0" w:rsidR="009256FD" w:rsidRDefault="00522C18" w:rsidP="00630F54">
                    <w:r>
                      <w:t>Mobile Student – A student who experiences at least one instance of mobility during the academic year.</w:t>
                    </w:r>
                  </w:p>
                  <w:p w14:paraId="58F528A0" w14:textId="77777777" w:rsidR="009256FD" w:rsidRDefault="009256FD" w:rsidP="00630F54"/>
                  <w:p w14:paraId="5AAF26D6" w14:textId="0B9BFBA7" w:rsidR="009256FD" w:rsidRDefault="00F1034B" w:rsidP="00630F54">
                    <w:r>
                      <w:t>Membership Base</w:t>
                    </w:r>
                    <w:r w:rsidR="009256FD">
                      <w:t xml:space="preserve"> – </w:t>
                    </w:r>
                    <w:r w:rsidR="00522C18">
                      <w:t>The count of all K-12 students who are in membership in a school or district during the academic year.</w:t>
                    </w:r>
                  </w:p>
                  <w:p w14:paraId="79361E74" w14:textId="77777777" w:rsidR="00630F54" w:rsidRDefault="00630F54" w:rsidP="00630F54"/>
                  <w:p w14:paraId="75CEA117" w14:textId="7797BE20" w:rsidR="00630F54" w:rsidRDefault="00F1034B" w:rsidP="009256FD">
                    <w:r>
                      <w:t>Stability Rate</w:t>
                    </w:r>
                    <w:r w:rsidR="00630F54">
                      <w:t xml:space="preserve"> – </w:t>
                    </w:r>
                    <w:r w:rsidR="00522C18">
                      <w:t>Number of stable students (unduplicated) divided by the K-12 membership base.</w:t>
                    </w:r>
                  </w:p>
                  <w:p w14:paraId="677512C1" w14:textId="77777777" w:rsidR="009256FD" w:rsidRDefault="009256FD" w:rsidP="009256FD"/>
                  <w:p w14:paraId="483DA25C" w14:textId="325344D2" w:rsidR="009256FD" w:rsidRDefault="00F1034B" w:rsidP="009256FD">
                    <w:r>
                      <w:t>Mobility</w:t>
                    </w:r>
                    <w:r w:rsidR="009256FD">
                      <w:t xml:space="preserve"> Rate –</w:t>
                    </w:r>
                    <w:r w:rsidR="00DC46C3">
                      <w:t xml:space="preserve"> Number of mobile students (unduplicated) divided by the K-12 membership base.</w:t>
                    </w:r>
                  </w:p>
                  <w:p w14:paraId="1DEA0424" w14:textId="77777777" w:rsidR="009256FD" w:rsidRDefault="009256FD" w:rsidP="009256FD"/>
                  <w:p w14:paraId="4CF2F698" w14:textId="5DD5D720" w:rsidR="009256FD" w:rsidRDefault="00F1034B" w:rsidP="009256FD">
                    <w:r>
                      <w:t>Mobility Incidence</w:t>
                    </w:r>
                    <w:r w:rsidR="009256FD">
                      <w:t xml:space="preserve"> Rate – </w:t>
                    </w:r>
                    <w:r w:rsidR="00DC46C3">
                      <w:t>Number of instances of mobility (duplicated student count) divided by the K-12 membership base.</w:t>
                    </w:r>
                  </w:p>
                  <w:p w14:paraId="620EB631" w14:textId="77777777" w:rsidR="009256FD" w:rsidRDefault="009256FD" w:rsidP="009256FD"/>
                  <w:p w14:paraId="1306D6AF" w14:textId="77777777" w:rsidR="00630F54" w:rsidRDefault="00630F54" w:rsidP="00630F54"/>
                  <w:p w14:paraId="0866BDA3" w14:textId="7D1F720E" w:rsidR="00630F54" w:rsidRDefault="00DA671C" w:rsidP="00630F54">
                    <w:pPr>
                      <w:jc w:val="center"/>
                      <w:rPr>
                        <w:rStyle w:val="Hyperlink"/>
                      </w:rPr>
                    </w:pPr>
                    <w:hyperlink r:id="rId6" w:history="1">
                      <w:r w:rsidR="00630F54" w:rsidRPr="00D91F59">
                        <w:rPr>
                          <w:rStyle w:val="Hyperlink"/>
                        </w:rPr>
                        <w:t>Dropout Prevention and Student Reengagement</w:t>
                      </w:r>
                    </w:hyperlink>
                  </w:p>
                  <w:p w14:paraId="2548FC77" w14:textId="77777777" w:rsidR="002533A0" w:rsidRDefault="002533A0" w:rsidP="00630F54">
                    <w:pPr>
                      <w:jc w:val="center"/>
                      <w:rPr>
                        <w:rStyle w:val="Hyperlink"/>
                      </w:rPr>
                    </w:pPr>
                  </w:p>
                  <w:p w14:paraId="2F6394E5" w14:textId="21BD6D7E" w:rsidR="002533A0" w:rsidRDefault="00DA671C" w:rsidP="00630F54">
                    <w:pPr>
                      <w:jc w:val="center"/>
                      <w:rPr>
                        <w:rStyle w:val="Hyperlink"/>
                      </w:rPr>
                    </w:pPr>
                    <w:hyperlink r:id="rId7" w:history="1">
                      <w:r w:rsidR="002533A0" w:rsidRPr="002533A0">
                        <w:rPr>
                          <w:rStyle w:val="Hyperlink"/>
                        </w:rPr>
                        <w:t>Office of Student Support</w:t>
                      </w:r>
                    </w:hyperlink>
                  </w:p>
                  <w:p w14:paraId="0A091373" w14:textId="77777777" w:rsidR="002533A0" w:rsidRDefault="002533A0" w:rsidP="00630F54">
                    <w:pPr>
                      <w:jc w:val="center"/>
                      <w:rPr>
                        <w:rStyle w:val="Hyperlink"/>
                      </w:rPr>
                    </w:pPr>
                  </w:p>
                  <w:p w14:paraId="2D2DA1C6" w14:textId="5A0CCCB0" w:rsidR="002533A0" w:rsidRDefault="00DA671C" w:rsidP="00630F54">
                    <w:pPr>
                      <w:jc w:val="center"/>
                      <w:rPr>
                        <w:rStyle w:val="Hyperlink"/>
                      </w:rPr>
                    </w:pPr>
                    <w:hyperlink r:id="rId8" w:history="1">
                      <w:r w:rsidR="002533A0" w:rsidRPr="002533A0">
                        <w:rPr>
                          <w:rStyle w:val="Hyperlink"/>
                        </w:rPr>
                        <w:t>Migrant Education office</w:t>
                      </w:r>
                    </w:hyperlink>
                  </w:p>
                  <w:p w14:paraId="00FF5DC3" w14:textId="77777777" w:rsidR="00E977BA" w:rsidRDefault="00E977BA" w:rsidP="00630F54">
                    <w:pPr>
                      <w:jc w:val="center"/>
                      <w:rPr>
                        <w:rStyle w:val="Hyperlink"/>
                      </w:rPr>
                    </w:pPr>
                  </w:p>
                  <w:p w14:paraId="66620C24" w14:textId="26E2CC81" w:rsidR="00E977BA" w:rsidRDefault="00DA671C" w:rsidP="00630F54">
                    <w:pPr>
                      <w:jc w:val="center"/>
                    </w:pPr>
                    <w:hyperlink r:id="rId9" w:history="1">
                      <w:r w:rsidR="00E977BA" w:rsidRPr="00E977BA">
                        <w:rPr>
                          <w:rStyle w:val="Hyperlink"/>
                        </w:rPr>
                        <w:t>Mobility/Stability Statistics Website</w:t>
                      </w:r>
                    </w:hyperlink>
                  </w:p>
                  <w:p w14:paraId="38D92061" w14:textId="77777777" w:rsidR="00406BDE" w:rsidRDefault="00406BDE" w:rsidP="00630F54">
                    <w:pPr>
                      <w:jc w:val="center"/>
                    </w:pPr>
                  </w:p>
                  <w:p w14:paraId="6885C352" w14:textId="6A41E4CD" w:rsidR="00630F54" w:rsidRPr="00BE17AC" w:rsidRDefault="00630F54" w:rsidP="00630F54">
                    <w:pPr>
                      <w:jc w:val="center"/>
                    </w:pPr>
                  </w:p>
                  <w:p w14:paraId="3F49A518" w14:textId="77777777" w:rsidR="004267A4" w:rsidRDefault="004267A4" w:rsidP="004267A4"/>
                </w:txbxContent>
              </v:textbox>
              <w10:wrap anchory="page"/>
              <w10:anchorlock/>
            </v:rect>
          </w:pict>
        </mc:Fallback>
      </mc:AlternateContent>
    </w:r>
    <w:r w:rsidR="00630F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CAF3"/>
    <w:multiLevelType w:val="hybridMultilevel"/>
    <w:tmpl w:val="FFDE77C2"/>
    <w:lvl w:ilvl="0" w:tplc="B5A05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40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22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CF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03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6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8F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39C7"/>
    <w:multiLevelType w:val="hybridMultilevel"/>
    <w:tmpl w:val="74A0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2570"/>
    <w:multiLevelType w:val="hybridMultilevel"/>
    <w:tmpl w:val="C3F8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D17A"/>
    <w:multiLevelType w:val="hybridMultilevel"/>
    <w:tmpl w:val="D024B0F2"/>
    <w:lvl w:ilvl="0" w:tplc="DCFAE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0C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2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8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6F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28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40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23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CC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17A8"/>
    <w:multiLevelType w:val="hybridMultilevel"/>
    <w:tmpl w:val="11F65972"/>
    <w:lvl w:ilvl="0" w:tplc="CBF2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E8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0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E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6D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0C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28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CA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49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580E546"/>
    <w:multiLevelType w:val="hybridMultilevel"/>
    <w:tmpl w:val="13B68964"/>
    <w:lvl w:ilvl="0" w:tplc="5F5CD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47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6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E0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E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E0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46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69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CF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73E62"/>
    <w:multiLevelType w:val="hybridMultilevel"/>
    <w:tmpl w:val="7112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502876">
    <w:abstractNumId w:val="3"/>
  </w:num>
  <w:num w:numId="2" w16cid:durableId="1719548128">
    <w:abstractNumId w:val="4"/>
  </w:num>
  <w:num w:numId="3" w16cid:durableId="868371337">
    <w:abstractNumId w:val="0"/>
  </w:num>
  <w:num w:numId="4" w16cid:durableId="1808815067">
    <w:abstractNumId w:val="5"/>
  </w:num>
  <w:num w:numId="5" w16cid:durableId="1014452750">
    <w:abstractNumId w:val="5"/>
  </w:num>
  <w:num w:numId="6" w16cid:durableId="900677004">
    <w:abstractNumId w:val="6"/>
  </w:num>
  <w:num w:numId="7" w16cid:durableId="1643123192">
    <w:abstractNumId w:val="5"/>
  </w:num>
  <w:num w:numId="8" w16cid:durableId="482236608">
    <w:abstractNumId w:val="6"/>
  </w:num>
  <w:num w:numId="9" w16cid:durableId="537396884">
    <w:abstractNumId w:val="2"/>
  </w:num>
  <w:num w:numId="10" w16cid:durableId="393702995">
    <w:abstractNumId w:val="7"/>
  </w:num>
  <w:num w:numId="11" w16cid:durableId="900795505">
    <w:abstractNumId w:val="8"/>
  </w:num>
  <w:num w:numId="12" w16cid:durableId="164989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2Obdg9yVV+Zo1P3oFTqWgdNt+huXHEP8esgtyomnwBjINFGdU41vFAU1+EpJvs4keuu0K7mQKEeb7B5Z+jxWA==" w:salt="D8pmG1/WeWFX1bBytuAB9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E"/>
    <w:rsid w:val="00016357"/>
    <w:rsid w:val="0005455B"/>
    <w:rsid w:val="0008097B"/>
    <w:rsid w:val="000816D4"/>
    <w:rsid w:val="00087C80"/>
    <w:rsid w:val="000D6870"/>
    <w:rsid w:val="000F72BD"/>
    <w:rsid w:val="00122B8E"/>
    <w:rsid w:val="00131EB5"/>
    <w:rsid w:val="00137449"/>
    <w:rsid w:val="001567CB"/>
    <w:rsid w:val="00181338"/>
    <w:rsid w:val="00185832"/>
    <w:rsid w:val="001A154F"/>
    <w:rsid w:val="001A3A31"/>
    <w:rsid w:val="001C4EF4"/>
    <w:rsid w:val="001E6A8F"/>
    <w:rsid w:val="001E7162"/>
    <w:rsid w:val="00213CEF"/>
    <w:rsid w:val="0021453E"/>
    <w:rsid w:val="00220EB5"/>
    <w:rsid w:val="0023298D"/>
    <w:rsid w:val="0025309C"/>
    <w:rsid w:val="002533A0"/>
    <w:rsid w:val="002673BA"/>
    <w:rsid w:val="00280873"/>
    <w:rsid w:val="00290948"/>
    <w:rsid w:val="00294F34"/>
    <w:rsid w:val="002B7237"/>
    <w:rsid w:val="002F3706"/>
    <w:rsid w:val="0031708E"/>
    <w:rsid w:val="00320356"/>
    <w:rsid w:val="00320EED"/>
    <w:rsid w:val="00344DB5"/>
    <w:rsid w:val="00366433"/>
    <w:rsid w:val="0038219E"/>
    <w:rsid w:val="003C35AE"/>
    <w:rsid w:val="003C50EE"/>
    <w:rsid w:val="003E1CD2"/>
    <w:rsid w:val="003E2A19"/>
    <w:rsid w:val="003E4537"/>
    <w:rsid w:val="003E5E15"/>
    <w:rsid w:val="003E722B"/>
    <w:rsid w:val="00401538"/>
    <w:rsid w:val="00406BDE"/>
    <w:rsid w:val="0041475A"/>
    <w:rsid w:val="004150D4"/>
    <w:rsid w:val="004176AA"/>
    <w:rsid w:val="004267A4"/>
    <w:rsid w:val="00430977"/>
    <w:rsid w:val="00441C25"/>
    <w:rsid w:val="004522D0"/>
    <w:rsid w:val="00455920"/>
    <w:rsid w:val="00464AFA"/>
    <w:rsid w:val="004A19DF"/>
    <w:rsid w:val="004B044D"/>
    <w:rsid w:val="004B0BC2"/>
    <w:rsid w:val="004E777C"/>
    <w:rsid w:val="00515891"/>
    <w:rsid w:val="00522C18"/>
    <w:rsid w:val="005244CD"/>
    <w:rsid w:val="005574F8"/>
    <w:rsid w:val="00565FA3"/>
    <w:rsid w:val="005A0EDA"/>
    <w:rsid w:val="005A1CA7"/>
    <w:rsid w:val="005D2C23"/>
    <w:rsid w:val="005E276A"/>
    <w:rsid w:val="005E399B"/>
    <w:rsid w:val="005E3BA8"/>
    <w:rsid w:val="005F0982"/>
    <w:rsid w:val="00616466"/>
    <w:rsid w:val="00621B2E"/>
    <w:rsid w:val="00622BBE"/>
    <w:rsid w:val="00624562"/>
    <w:rsid w:val="00630F54"/>
    <w:rsid w:val="0063308B"/>
    <w:rsid w:val="006354CB"/>
    <w:rsid w:val="0063658A"/>
    <w:rsid w:val="00650877"/>
    <w:rsid w:val="0065618F"/>
    <w:rsid w:val="0066743C"/>
    <w:rsid w:val="00680A43"/>
    <w:rsid w:val="00684950"/>
    <w:rsid w:val="006A0E28"/>
    <w:rsid w:val="006A3F0E"/>
    <w:rsid w:val="006B22FE"/>
    <w:rsid w:val="006B60C8"/>
    <w:rsid w:val="006C5505"/>
    <w:rsid w:val="006D50D0"/>
    <w:rsid w:val="006D5688"/>
    <w:rsid w:val="006F029D"/>
    <w:rsid w:val="00751222"/>
    <w:rsid w:val="007551C1"/>
    <w:rsid w:val="00762715"/>
    <w:rsid w:val="0076342F"/>
    <w:rsid w:val="00764158"/>
    <w:rsid w:val="0076560C"/>
    <w:rsid w:val="00766870"/>
    <w:rsid w:val="00767EE2"/>
    <w:rsid w:val="00776ADA"/>
    <w:rsid w:val="00793700"/>
    <w:rsid w:val="007970B3"/>
    <w:rsid w:val="007A6945"/>
    <w:rsid w:val="007B0F75"/>
    <w:rsid w:val="007B74B1"/>
    <w:rsid w:val="007DDCAF"/>
    <w:rsid w:val="007E2014"/>
    <w:rsid w:val="007E3E17"/>
    <w:rsid w:val="007E7AB0"/>
    <w:rsid w:val="007F1A2D"/>
    <w:rsid w:val="008160BE"/>
    <w:rsid w:val="00816D3F"/>
    <w:rsid w:val="00826133"/>
    <w:rsid w:val="008400ED"/>
    <w:rsid w:val="008428F4"/>
    <w:rsid w:val="00843608"/>
    <w:rsid w:val="00846456"/>
    <w:rsid w:val="00846606"/>
    <w:rsid w:val="00850BF3"/>
    <w:rsid w:val="00870E97"/>
    <w:rsid w:val="0087461D"/>
    <w:rsid w:val="00883CC4"/>
    <w:rsid w:val="00884765"/>
    <w:rsid w:val="008855F4"/>
    <w:rsid w:val="008918E1"/>
    <w:rsid w:val="00892CA7"/>
    <w:rsid w:val="00897D71"/>
    <w:rsid w:val="008A33CD"/>
    <w:rsid w:val="008A3A77"/>
    <w:rsid w:val="008B3147"/>
    <w:rsid w:val="008B64D8"/>
    <w:rsid w:val="008C120F"/>
    <w:rsid w:val="008D03A6"/>
    <w:rsid w:val="008D3702"/>
    <w:rsid w:val="00902C4F"/>
    <w:rsid w:val="009256FD"/>
    <w:rsid w:val="009418FB"/>
    <w:rsid w:val="0094524E"/>
    <w:rsid w:val="00974A8E"/>
    <w:rsid w:val="00995932"/>
    <w:rsid w:val="009A4DDD"/>
    <w:rsid w:val="009A73D2"/>
    <w:rsid w:val="009B2193"/>
    <w:rsid w:val="009D50F1"/>
    <w:rsid w:val="009E40B4"/>
    <w:rsid w:val="009E6CDA"/>
    <w:rsid w:val="009E7D5F"/>
    <w:rsid w:val="009F0A0E"/>
    <w:rsid w:val="009F5D04"/>
    <w:rsid w:val="00A21AF4"/>
    <w:rsid w:val="00A32565"/>
    <w:rsid w:val="00A4594D"/>
    <w:rsid w:val="00A65B93"/>
    <w:rsid w:val="00A75A46"/>
    <w:rsid w:val="00AA4AA4"/>
    <w:rsid w:val="00AB329E"/>
    <w:rsid w:val="00AB3D04"/>
    <w:rsid w:val="00AB7263"/>
    <w:rsid w:val="00B171D1"/>
    <w:rsid w:val="00B22AF4"/>
    <w:rsid w:val="00B2379B"/>
    <w:rsid w:val="00B328B1"/>
    <w:rsid w:val="00B32EA6"/>
    <w:rsid w:val="00B44018"/>
    <w:rsid w:val="00B655EA"/>
    <w:rsid w:val="00B75D0F"/>
    <w:rsid w:val="00B83063"/>
    <w:rsid w:val="00B91F24"/>
    <w:rsid w:val="00B93CB9"/>
    <w:rsid w:val="00BA48B2"/>
    <w:rsid w:val="00BA6B1F"/>
    <w:rsid w:val="00BC5669"/>
    <w:rsid w:val="00BC5A12"/>
    <w:rsid w:val="00BE17AC"/>
    <w:rsid w:val="00BF68A6"/>
    <w:rsid w:val="00C0102E"/>
    <w:rsid w:val="00C01318"/>
    <w:rsid w:val="00C12323"/>
    <w:rsid w:val="00C14636"/>
    <w:rsid w:val="00C15373"/>
    <w:rsid w:val="00C2054D"/>
    <w:rsid w:val="00C413EE"/>
    <w:rsid w:val="00C41C33"/>
    <w:rsid w:val="00C446BF"/>
    <w:rsid w:val="00C45F43"/>
    <w:rsid w:val="00C60AD0"/>
    <w:rsid w:val="00C6100E"/>
    <w:rsid w:val="00C70CFE"/>
    <w:rsid w:val="00C771AE"/>
    <w:rsid w:val="00CC3672"/>
    <w:rsid w:val="00CD1D92"/>
    <w:rsid w:val="00CD607A"/>
    <w:rsid w:val="00D05FF8"/>
    <w:rsid w:val="00D0689E"/>
    <w:rsid w:val="00D075BD"/>
    <w:rsid w:val="00D14C6E"/>
    <w:rsid w:val="00D205BE"/>
    <w:rsid w:val="00D31D03"/>
    <w:rsid w:val="00D35F93"/>
    <w:rsid w:val="00D74B76"/>
    <w:rsid w:val="00D85458"/>
    <w:rsid w:val="00D91F59"/>
    <w:rsid w:val="00D9606F"/>
    <w:rsid w:val="00D964BC"/>
    <w:rsid w:val="00DA3F01"/>
    <w:rsid w:val="00DA671C"/>
    <w:rsid w:val="00DC46C3"/>
    <w:rsid w:val="00DD0C53"/>
    <w:rsid w:val="00DF6D31"/>
    <w:rsid w:val="00E04D32"/>
    <w:rsid w:val="00E07B60"/>
    <w:rsid w:val="00E2658E"/>
    <w:rsid w:val="00E334EB"/>
    <w:rsid w:val="00E372D1"/>
    <w:rsid w:val="00E4029D"/>
    <w:rsid w:val="00E511E2"/>
    <w:rsid w:val="00E62F62"/>
    <w:rsid w:val="00E72426"/>
    <w:rsid w:val="00E85D4F"/>
    <w:rsid w:val="00E85F7F"/>
    <w:rsid w:val="00E977BA"/>
    <w:rsid w:val="00E97F2E"/>
    <w:rsid w:val="00EB4B77"/>
    <w:rsid w:val="00EC69AC"/>
    <w:rsid w:val="00EE2569"/>
    <w:rsid w:val="00EE6BBB"/>
    <w:rsid w:val="00F07D02"/>
    <w:rsid w:val="00F1034B"/>
    <w:rsid w:val="00F22E89"/>
    <w:rsid w:val="00F2315D"/>
    <w:rsid w:val="00F25F4A"/>
    <w:rsid w:val="00F30E5F"/>
    <w:rsid w:val="00F36C78"/>
    <w:rsid w:val="00F40BA0"/>
    <w:rsid w:val="00F452A0"/>
    <w:rsid w:val="00F56BBA"/>
    <w:rsid w:val="00F607B4"/>
    <w:rsid w:val="00F6440C"/>
    <w:rsid w:val="00F71157"/>
    <w:rsid w:val="00F85B7D"/>
    <w:rsid w:val="00F92868"/>
    <w:rsid w:val="00F9469E"/>
    <w:rsid w:val="00FA6CFC"/>
    <w:rsid w:val="00FB2541"/>
    <w:rsid w:val="00FE3AA3"/>
    <w:rsid w:val="00FE3E0C"/>
    <w:rsid w:val="00FF253D"/>
    <w:rsid w:val="00FF5B45"/>
    <w:rsid w:val="01580806"/>
    <w:rsid w:val="01AB4059"/>
    <w:rsid w:val="06ED1E33"/>
    <w:rsid w:val="077F6B81"/>
    <w:rsid w:val="0A002D6D"/>
    <w:rsid w:val="0CB6630A"/>
    <w:rsid w:val="10692E06"/>
    <w:rsid w:val="1C53AEB7"/>
    <w:rsid w:val="1DA510A9"/>
    <w:rsid w:val="1F09E454"/>
    <w:rsid w:val="2184BED9"/>
    <w:rsid w:val="22F5BCC7"/>
    <w:rsid w:val="24918D28"/>
    <w:rsid w:val="2B338EA5"/>
    <w:rsid w:val="30E0F84E"/>
    <w:rsid w:val="3189A7CC"/>
    <w:rsid w:val="3325782D"/>
    <w:rsid w:val="34407FDD"/>
    <w:rsid w:val="409ACDCC"/>
    <w:rsid w:val="43FC9EF1"/>
    <w:rsid w:val="494A36C4"/>
    <w:rsid w:val="498D668B"/>
    <w:rsid w:val="4B55BDA4"/>
    <w:rsid w:val="51BAAE41"/>
    <w:rsid w:val="5398EA69"/>
    <w:rsid w:val="55B680A2"/>
    <w:rsid w:val="56A05DD1"/>
    <w:rsid w:val="5763FB19"/>
    <w:rsid w:val="578C333E"/>
    <w:rsid w:val="57A442E1"/>
    <w:rsid w:val="583C2E32"/>
    <w:rsid w:val="5D0F9F55"/>
    <w:rsid w:val="62AE9B46"/>
    <w:rsid w:val="62EA75BF"/>
    <w:rsid w:val="65C5E914"/>
    <w:rsid w:val="691DDCCA"/>
    <w:rsid w:val="6AB9AD2B"/>
    <w:rsid w:val="746F9F39"/>
    <w:rsid w:val="7521926B"/>
    <w:rsid w:val="78400AD0"/>
    <w:rsid w:val="7A993D3B"/>
    <w:rsid w:val="7DFD5922"/>
    <w:rsid w:val="7E5C56EC"/>
    <w:rsid w:val="7EE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A612F"/>
  <w14:defaultImageDpi w14:val="330"/>
  <w15:docId w15:val="{EE7D3675-646A-4EC3-A26C-571A2943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sz w:val="22"/>
      <w:szCs w:val="24"/>
    </w:rPr>
  </w:style>
  <w:style w:type="paragraph" w:styleId="Heading1">
    <w:name w:val="heading 1"/>
    <w:basedOn w:val="Subhead"/>
    <w:next w:val="Normal"/>
    <w:link w:val="Heading1Char"/>
    <w:autoRedefine/>
    <w:uiPriority w:val="9"/>
    <w:qFormat/>
    <w:rsid w:val="00F452A0"/>
    <w:pPr>
      <w:ind w:right="28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7AC"/>
    <w:pPr>
      <w:keepNext/>
      <w:keepLines/>
      <w:spacing w:before="200"/>
      <w:outlineLvl w:val="1"/>
    </w:pPr>
    <w:rPr>
      <w:rFonts w:ascii="Trebuchet MS" w:hAnsi="Trebuchet MS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00ED"/>
    <w:pPr>
      <w:spacing w:before="240" w:after="240"/>
      <w:ind w:right="2880"/>
    </w:pPr>
    <w:rPr>
      <w:rFonts w:ascii="Museo Slab 500" w:hAnsi="Museo Slab 500"/>
      <w:b/>
      <w:bCs/>
      <w:color w:val="5C6670"/>
      <w:sz w:val="40"/>
      <w:szCs w:val="36"/>
    </w:rPr>
  </w:style>
  <w:style w:type="character" w:customStyle="1" w:styleId="TitleChar">
    <w:name w:val="Title Char"/>
    <w:link w:val="Title"/>
    <w:rsid w:val="008400ED"/>
    <w:rPr>
      <w:rFonts w:ascii="Museo Slab 500" w:hAnsi="Museo Slab 500"/>
      <w:b/>
      <w:bCs/>
      <w:color w:val="5C6670"/>
      <w:sz w:val="40"/>
      <w:szCs w:val="36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/>
      <w:sz w:val="24"/>
    </w:rPr>
  </w:style>
  <w:style w:type="paragraph" w:customStyle="1" w:styleId="Subhead">
    <w:name w:val="Subhead"/>
    <w:basedOn w:val="Normal"/>
    <w:next w:val="Normal"/>
    <w:autoRedefine/>
    <w:qFormat/>
    <w:rsid w:val="00DA3F01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/>
      </w:pBdr>
      <w:spacing w:before="0"/>
    </w:pPr>
    <w:rPr>
      <w:b w:val="0"/>
      <w:sz w:val="36"/>
      <w:szCs w:val="36"/>
    </w:rPr>
  </w:style>
  <w:style w:type="character" w:customStyle="1" w:styleId="Heading1Char">
    <w:name w:val="Heading 1 Char"/>
    <w:link w:val="Heading1"/>
    <w:uiPriority w:val="9"/>
    <w:rsid w:val="00F452A0"/>
    <w:rPr>
      <w:rFonts w:ascii="Trebuchet MS" w:hAnsi="Trebuchet MS"/>
      <w:b/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7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6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/>
    </w:rPr>
    <w:tblPr>
      <w:tblStyleRowBandSize w:val="1"/>
      <w:tblStyleColBandSize w:val="1"/>
      <w:tblBorders>
        <w:top w:val="single" w:sz="24" w:space="0" w:color="FFC846"/>
        <w:left w:val="single" w:sz="4" w:space="0" w:color="488BC9"/>
        <w:bottom w:val="single" w:sz="4" w:space="0" w:color="488BC9"/>
        <w:right w:val="single" w:sz="4" w:space="0" w:color="488BC9"/>
        <w:insideH w:val="single" w:sz="4" w:space="0" w:color="FFFFFF"/>
        <w:insideV w:val="single" w:sz="4" w:space="0" w:color="FFFFFF"/>
      </w:tblBorders>
    </w:tblPr>
    <w:tcPr>
      <w:shd w:val="clear" w:color="auto" w:fill="ECF3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37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37E"/>
          <w:insideV w:val="nil"/>
        </w:tcBorders>
        <w:shd w:val="clear" w:color="auto" w:fill="25537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/>
      </w:tcPr>
    </w:tblStylePr>
    <w:tblStylePr w:type="band1Vert">
      <w:tblPr/>
      <w:tcPr>
        <w:shd w:val="clear" w:color="auto" w:fill="B5D0E9"/>
      </w:tcPr>
    </w:tblStylePr>
    <w:tblStylePr w:type="band1Horz">
      <w:tblPr/>
      <w:tcPr>
        <w:shd w:val="clear" w:color="auto" w:fill="A3C4E4"/>
      </w:tcPr>
    </w:tblStylePr>
    <w:tblStylePr w:type="neCell">
      <w:rPr>
        <w:color w:val="5C6670"/>
      </w:rPr>
    </w:tblStylePr>
    <w:tblStylePr w:type="nwCell">
      <w:rPr>
        <w:color w:val="5C6670"/>
      </w:rPr>
    </w:tblStylePr>
  </w:style>
  <w:style w:type="character" w:styleId="EndnoteReference">
    <w:name w:val="endnote reference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/>
      <w:szCs w:val="20"/>
    </w:rPr>
  </w:style>
  <w:style w:type="character" w:customStyle="1" w:styleId="EndnoteTextChar">
    <w:name w:val="Endnote Text Char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link w:val="Heading2"/>
    <w:uiPriority w:val="9"/>
    <w:rsid w:val="00BE17AC"/>
    <w:rPr>
      <w:rFonts w:ascii="Trebuchet MS" w:hAnsi="Trebuchet MS"/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846456"/>
    <w:rPr>
      <w:rFonts w:ascii="Calibri" w:eastAsia="MS PGothic" w:hAnsi="Calibri" w:cs="Times New Roman"/>
      <w:b/>
      <w:bCs/>
      <w:sz w:val="22"/>
    </w:rPr>
  </w:style>
  <w:style w:type="character" w:styleId="Hyperlink">
    <w:name w:val="Hyperlink"/>
    <w:rsid w:val="00846456"/>
    <w:rPr>
      <w:color w:val="0000FF"/>
      <w:u w:val="single"/>
    </w:rPr>
  </w:style>
  <w:style w:type="character" w:styleId="IntenseEmphasis">
    <w:name w:val="Intense Emphasis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/>
        <w:left w:val="single" w:sz="8" w:space="0" w:color="488BC9"/>
        <w:bottom w:val="single" w:sz="8" w:space="0" w:color="488BC9"/>
        <w:right w:val="single" w:sz="8" w:space="0" w:color="488B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88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/>
          <w:left w:val="single" w:sz="8" w:space="0" w:color="488BC9"/>
          <w:bottom w:val="single" w:sz="8" w:space="0" w:color="488BC9"/>
          <w:right w:val="single" w:sz="8" w:space="0" w:color="488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/>
          <w:left w:val="single" w:sz="8" w:space="0" w:color="488BC9"/>
          <w:bottom w:val="single" w:sz="8" w:space="0" w:color="488BC9"/>
          <w:right w:val="single" w:sz="8" w:space="0" w:color="488BC9"/>
        </w:tcBorders>
      </w:tcPr>
    </w:tblStylePr>
    <w:tblStylePr w:type="band1Horz">
      <w:tblPr/>
      <w:tcPr>
        <w:tcBorders>
          <w:top w:val="single" w:sz="8" w:space="0" w:color="488BC9"/>
          <w:left w:val="single" w:sz="8" w:space="0" w:color="488BC9"/>
          <w:bottom w:val="single" w:sz="8" w:space="0" w:color="488BC9"/>
          <w:right w:val="single" w:sz="8" w:space="0" w:color="488BC9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/>
        <w:left w:val="single" w:sz="8" w:space="0" w:color="FFC846"/>
        <w:bottom w:val="single" w:sz="8" w:space="0" w:color="FFC846"/>
        <w:right w:val="single" w:sz="8" w:space="0" w:color="FFC8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8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/>
          <w:left w:val="single" w:sz="8" w:space="0" w:color="FFC846"/>
          <w:bottom w:val="single" w:sz="8" w:space="0" w:color="FFC846"/>
          <w:right w:val="single" w:sz="8" w:space="0" w:color="FFC8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/>
          <w:left w:val="single" w:sz="8" w:space="0" w:color="FFC846"/>
          <w:bottom w:val="single" w:sz="8" w:space="0" w:color="FFC846"/>
          <w:right w:val="single" w:sz="8" w:space="0" w:color="FFC846"/>
        </w:tcBorders>
      </w:tcPr>
    </w:tblStylePr>
    <w:tblStylePr w:type="band1Horz">
      <w:tblPr/>
      <w:tcPr>
        <w:tcBorders>
          <w:top w:val="single" w:sz="8" w:space="0" w:color="FFC846"/>
          <w:left w:val="single" w:sz="8" w:space="0" w:color="FFC846"/>
          <w:bottom w:val="single" w:sz="8" w:space="0" w:color="FFC846"/>
          <w:right w:val="single" w:sz="8" w:space="0" w:color="FFC846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/>
        <w:left w:val="single" w:sz="8" w:space="0" w:color="46797A"/>
        <w:bottom w:val="single" w:sz="8" w:space="0" w:color="46797A"/>
        <w:right w:val="single" w:sz="8" w:space="0" w:color="4679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6797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/>
          <w:left w:val="single" w:sz="8" w:space="0" w:color="46797A"/>
          <w:bottom w:val="single" w:sz="8" w:space="0" w:color="46797A"/>
          <w:right w:val="single" w:sz="8" w:space="0" w:color="4679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/>
          <w:left w:val="single" w:sz="8" w:space="0" w:color="46797A"/>
          <w:bottom w:val="single" w:sz="8" w:space="0" w:color="46797A"/>
          <w:right w:val="single" w:sz="8" w:space="0" w:color="46797A"/>
        </w:tcBorders>
      </w:tcPr>
    </w:tblStylePr>
    <w:tblStylePr w:type="band1Horz">
      <w:tblPr/>
      <w:tcPr>
        <w:tcBorders>
          <w:top w:val="single" w:sz="8" w:space="0" w:color="46797A"/>
          <w:left w:val="single" w:sz="8" w:space="0" w:color="46797A"/>
          <w:bottom w:val="single" w:sz="8" w:space="0" w:color="46797A"/>
          <w:right w:val="single" w:sz="8" w:space="0" w:color="46797A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/>
    </w:rPr>
    <w:tblPr>
      <w:tblStyleRowBandSize w:val="1"/>
      <w:tblStyleColBandSize w:val="1"/>
      <w:tblBorders>
        <w:top w:val="single" w:sz="8" w:space="0" w:color="5C6670"/>
        <w:bottom w:val="single" w:sz="8" w:space="0" w:color="5C66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/>
          <w:left w:val="nil"/>
          <w:bottom w:val="single" w:sz="8" w:space="0" w:color="5C667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/>
          <w:left w:val="nil"/>
          <w:bottom w:val="single" w:sz="8" w:space="0" w:color="5C667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/>
    </w:rPr>
    <w:tblPr>
      <w:tblStyleRowBandSize w:val="1"/>
      <w:tblStyleColBandSize w:val="1"/>
      <w:tblBorders>
        <w:top w:val="single" w:sz="8" w:space="0" w:color="488BC9"/>
        <w:bottom w:val="single" w:sz="8" w:space="0" w:color="488B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/>
          <w:left w:val="nil"/>
          <w:bottom w:val="single" w:sz="8" w:space="0" w:color="488B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/>
          <w:left w:val="nil"/>
          <w:bottom w:val="single" w:sz="8" w:space="0" w:color="488B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/>
    </w:rPr>
    <w:tblPr>
      <w:tblStyleRowBandSize w:val="1"/>
      <w:tblStyleColBandSize w:val="1"/>
      <w:tblBorders>
        <w:top w:val="single" w:sz="8" w:space="0" w:color="8DC63F"/>
        <w:bottom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1E2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88BC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88BC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88BC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88BC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3C4E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3C4E4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/>
    </w:rPr>
    <w:tblPr>
      <w:tblStyleRowBandSize w:val="1"/>
      <w:tblStyleColBandSize w:val="1"/>
      <w:tblBorders>
        <w:top w:val="single" w:sz="8" w:space="0" w:color="488BC9"/>
        <w:bottom w:val="single" w:sz="8" w:space="0" w:color="488BC9"/>
      </w:tblBorders>
    </w:tblPr>
    <w:tblStylePr w:type="firstRow">
      <w:rPr>
        <w:rFonts w:ascii="Calibri" w:eastAsia="Verdana" w:hAnsi="Calibri" w:cs="Times New Roman"/>
      </w:rPr>
      <w:tblPr/>
      <w:tcPr>
        <w:tcBorders>
          <w:top w:val="nil"/>
          <w:bottom w:val="single" w:sz="8" w:space="0" w:color="488BC9"/>
        </w:tcBorders>
      </w:tcPr>
    </w:tblStylePr>
    <w:tblStylePr w:type="lastRow">
      <w:rPr>
        <w:b/>
        <w:bCs/>
        <w:color w:val="8FC6E8"/>
      </w:rPr>
      <w:tblPr/>
      <w:tcPr>
        <w:tcBorders>
          <w:top w:val="single" w:sz="8" w:space="0" w:color="488BC9"/>
          <w:bottom w:val="single" w:sz="8" w:space="0" w:color="488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/>
          <w:bottom w:val="single" w:sz="8" w:space="0" w:color="488BC9"/>
        </w:tcBorders>
      </w:tcPr>
    </w:tblStylePr>
    <w:tblStylePr w:type="band1Vert">
      <w:tblPr/>
      <w:tcPr>
        <w:shd w:val="clear" w:color="auto" w:fill="D1E2F1"/>
      </w:tcPr>
    </w:tblStylePr>
    <w:tblStylePr w:type="band1Horz">
      <w:tblPr/>
      <w:tcPr>
        <w:shd w:val="clear" w:color="auto" w:fill="D1E2F1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/>
    </w:rPr>
    <w:tblPr>
      <w:tblStyleRowBandSize w:val="1"/>
      <w:tblStyleColBandSize w:val="1"/>
      <w:tblBorders>
        <w:top w:val="single" w:sz="8" w:space="0" w:color="EF7521"/>
        <w:bottom w:val="single" w:sz="8" w:space="0" w:color="EF7521"/>
      </w:tblBorders>
    </w:tblPr>
    <w:tblStylePr w:type="firstRow">
      <w:rPr>
        <w:rFonts w:ascii="Calibri" w:eastAsia="Verdana" w:hAnsi="Calibri" w:cs="Times New Roman"/>
      </w:rPr>
      <w:tblPr/>
      <w:tcPr>
        <w:tcBorders>
          <w:top w:val="nil"/>
          <w:bottom w:val="single" w:sz="8" w:space="0" w:color="EF7521"/>
        </w:tcBorders>
      </w:tcPr>
    </w:tblStylePr>
    <w:tblStylePr w:type="lastRow">
      <w:rPr>
        <w:b/>
        <w:bCs/>
        <w:color w:val="8FC6E8"/>
      </w:rPr>
      <w:tblPr/>
      <w:tcPr>
        <w:tcBorders>
          <w:top w:val="single" w:sz="8" w:space="0" w:color="EF7521"/>
          <w:bottom w:val="single" w:sz="8" w:space="0" w:color="EF75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/>
          <w:bottom w:val="single" w:sz="8" w:space="0" w:color="EF7521"/>
        </w:tcBorders>
      </w:tcPr>
    </w:tblStylePr>
    <w:tblStylePr w:type="band1Vert">
      <w:tblPr/>
      <w:tcPr>
        <w:shd w:val="clear" w:color="auto" w:fill="FBDCC7"/>
      </w:tcPr>
    </w:tblStylePr>
    <w:tblStylePr w:type="band1Horz">
      <w:tblPr/>
      <w:tcPr>
        <w:shd w:val="clear" w:color="auto" w:fill="FBDCC7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/>
        <w:left w:val="single" w:sz="8" w:space="0" w:color="75A7D6"/>
        <w:bottom w:val="single" w:sz="8" w:space="0" w:color="75A7D6"/>
        <w:right w:val="single" w:sz="8" w:space="0" w:color="75A7D6"/>
        <w:insideH w:val="single" w:sz="8" w:space="0" w:color="75A7D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5A7D6"/>
          <w:left w:val="single" w:sz="8" w:space="0" w:color="75A7D6"/>
          <w:bottom w:val="single" w:sz="8" w:space="0" w:color="75A7D6"/>
          <w:right w:val="single" w:sz="8" w:space="0" w:color="75A7D6"/>
          <w:insideH w:val="nil"/>
          <w:insideV w:val="nil"/>
        </w:tcBorders>
        <w:shd w:val="clear" w:color="auto" w:fill="488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/>
          <w:left w:val="single" w:sz="8" w:space="0" w:color="75A7D6"/>
          <w:bottom w:val="single" w:sz="8" w:space="0" w:color="75A7D6"/>
          <w:right w:val="single" w:sz="8" w:space="0" w:color="75A7D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/>
        <w:left w:val="single" w:sz="8" w:space="0" w:color="67A6A8"/>
        <w:bottom w:val="single" w:sz="8" w:space="0" w:color="67A6A8"/>
        <w:right w:val="single" w:sz="8" w:space="0" w:color="67A6A8"/>
        <w:insideH w:val="single" w:sz="8" w:space="0" w:color="67A6A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7A6A8"/>
          <w:left w:val="single" w:sz="8" w:space="0" w:color="67A6A8"/>
          <w:bottom w:val="single" w:sz="8" w:space="0" w:color="67A6A8"/>
          <w:right w:val="single" w:sz="8" w:space="0" w:color="67A6A8"/>
          <w:insideH w:val="nil"/>
          <w:insideV w:val="nil"/>
        </w:tcBorders>
        <w:shd w:val="clear" w:color="auto" w:fill="46797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/>
          <w:left w:val="single" w:sz="8" w:space="0" w:color="67A6A8"/>
          <w:bottom w:val="single" w:sz="8" w:space="0" w:color="67A6A8"/>
          <w:right w:val="single" w:sz="8" w:space="0" w:color="67A6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/>
      </w:pBdr>
      <w:spacing w:before="160" w:after="360"/>
      <w:ind w:left="864" w:right="864"/>
      <w:jc w:val="center"/>
    </w:pPr>
    <w:rPr>
      <w:rFonts w:eastAsia="Calibri"/>
    </w:rPr>
  </w:style>
  <w:style w:type="character" w:customStyle="1" w:styleId="SubtitleChar">
    <w:name w:val="Subtitle Char"/>
    <w:link w:val="Subtitle"/>
    <w:rsid w:val="00846456"/>
    <w:rPr>
      <w:rFonts w:ascii="Calibri" w:eastAsia="Calibri" w:hAnsi="Calibri"/>
      <w:sz w:val="22"/>
    </w:rPr>
  </w:style>
  <w:style w:type="character" w:styleId="SubtleEmphasis">
    <w:name w:val="Subtle Emphasis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/>
        <w:left w:val="single" w:sz="4" w:space="0" w:color="5C6670"/>
        <w:bottom w:val="single" w:sz="4" w:space="0" w:color="5C6670"/>
        <w:right w:val="single" w:sz="4" w:space="0" w:color="5C6670"/>
        <w:insideH w:val="single" w:sz="4" w:space="0" w:color="5C6670"/>
        <w:insideV w:val="single" w:sz="4" w:space="0" w:color="5C6670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/>
    </w:p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spacing w:before="480" w:after="0"/>
      <w:outlineLvl w:val="9"/>
    </w:pPr>
    <w:rPr>
      <w:rFonts w:ascii="Calibri" w:hAnsi="Calibri"/>
      <w:b w:val="0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344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1F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0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E97"/>
    <w:rPr>
      <w:b/>
      <w:bCs/>
    </w:rPr>
  </w:style>
  <w:style w:type="character" w:styleId="Mention">
    <w:name w:val="Mention"/>
    <w:basedOn w:val="DefaultParagraphFont"/>
    <w:uiPriority w:val="99"/>
    <w:unhideWhenUsed/>
    <w:rsid w:val="00870E97"/>
    <w:rPr>
      <w:color w:val="2B579A"/>
      <w:shd w:val="clear" w:color="auto" w:fill="E1DFDD"/>
    </w:rPr>
  </w:style>
  <w:style w:type="table" w:styleId="ListTable3">
    <w:name w:val="List Table 3"/>
    <w:basedOn w:val="TableNormal"/>
    <w:uiPriority w:val="48"/>
    <w:rsid w:val="00AB32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e.state.co.us/dropoutprevention/attend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state.co.us/cdereval/mobility-stabilitycurre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yperlink" Target="https://www.cde.state.co.us/migran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state.co.us/studentsuppor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migrant" TargetMode="External"/><Relationship Id="rId3" Type="http://schemas.openxmlformats.org/officeDocument/2006/relationships/hyperlink" Target="https://www.cde.state.co.us/studentsupport" TargetMode="External"/><Relationship Id="rId7" Type="http://schemas.openxmlformats.org/officeDocument/2006/relationships/hyperlink" Target="https://www.cde.state.co.us/studentsupport" TargetMode="External"/><Relationship Id="rId2" Type="http://schemas.openxmlformats.org/officeDocument/2006/relationships/hyperlink" Target="https://www.cde.state.co.us/dropoutprevention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www.cde.state.co.us/dropoutprevention" TargetMode="External"/><Relationship Id="rId5" Type="http://schemas.openxmlformats.org/officeDocument/2006/relationships/hyperlink" Target="https://www.cde.state.co.us/cdereval/mobility-stabilitycurrent" TargetMode="External"/><Relationship Id="rId4" Type="http://schemas.openxmlformats.org/officeDocument/2006/relationships/hyperlink" Target="https://www.cde.state.co.us/migrant" TargetMode="External"/><Relationship Id="rId9" Type="http://schemas.openxmlformats.org/officeDocument/2006/relationships/hyperlink" Target="https://www.cde.state.co.us/cdereval/mobility-stabilitycurre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Average District Stability Rate</a:t>
            </a:r>
          </a:p>
        </c:rich>
      </c:tx>
      <c:layout>
        <c:manualLayout>
          <c:xMode val="edge"/>
          <c:yMode val="edge"/>
          <c:x val="0.28976286963118492"/>
          <c:y val="3.458186990784895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7225236885834163E-2"/>
          <c:y val="0.1996562645460967"/>
          <c:w val="0.92972984039280226"/>
          <c:h val="0.480479050104265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Rate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AC-439C-90A0-49186966F6BC}"/>
                </c:ext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AC-439C-90A0-49186966F6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  <c:pt idx="5">
                  <c:v>2022-23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0.879</c:v>
                </c:pt>
                <c:pt idx="1">
                  <c:v>0.88500000000000001</c:v>
                </c:pt>
                <c:pt idx="2">
                  <c:v>0.90200000000000002</c:v>
                </c:pt>
                <c:pt idx="3">
                  <c:v>0.89700000000000002</c:v>
                </c:pt>
                <c:pt idx="4">
                  <c:v>0.88900000000000001</c:v>
                </c:pt>
                <c:pt idx="5">
                  <c:v>0.90100000000000002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AC-439C-90A0-49186966F6B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5029968"/>
        <c:axId val="445031536"/>
      </c:lineChart>
      <c:catAx>
        <c:axId val="445029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School Year</a:t>
                </a:r>
              </a:p>
            </c:rich>
          </c:tx>
          <c:layout>
            <c:manualLayout>
              <c:xMode val="edge"/>
              <c:yMode val="edge"/>
              <c:x val="0.42342755689411415"/>
              <c:y val="0.830222679378802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031536"/>
        <c:crosses val="autoZero"/>
        <c:auto val="1"/>
        <c:lblAlgn val="ctr"/>
        <c:lblOffset val="100"/>
        <c:noMultiLvlLbl val="0"/>
      </c:catAx>
      <c:valAx>
        <c:axId val="445031536"/>
        <c:scaling>
          <c:orientation val="minMax"/>
          <c:max val="0.92"/>
          <c:min val="0.8600000000000001"/>
        </c:scaling>
        <c:delete val="1"/>
        <c:axPos val="l"/>
        <c:numFmt formatCode="0.0%" sourceLinked="1"/>
        <c:majorTickMark val="none"/>
        <c:minorTickMark val="none"/>
        <c:tickLblPos val="nextTo"/>
        <c:crossAx val="44502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Average District Mobility Incidence Rate</a:t>
            </a:r>
          </a:p>
        </c:rich>
      </c:tx>
      <c:layout>
        <c:manualLayout>
          <c:xMode val="edge"/>
          <c:yMode val="edge"/>
          <c:x val="0.22042876591892141"/>
          <c:y val="3.45808193007593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7225236885834163E-2"/>
          <c:y val="0.1996562645460967"/>
          <c:w val="0.92972984039280226"/>
          <c:h val="0.480479050104265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Rate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  <c:pt idx="5">
                  <c:v>2022-23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0.129</c:v>
                </c:pt>
                <c:pt idx="1">
                  <c:v>0.122</c:v>
                </c:pt>
                <c:pt idx="2">
                  <c:v>0.104</c:v>
                </c:pt>
                <c:pt idx="3">
                  <c:v>0.108</c:v>
                </c:pt>
                <c:pt idx="4">
                  <c:v>0.11799999999999999</c:v>
                </c:pt>
                <c:pt idx="5">
                  <c:v>0.106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C2-4C68-B508-7FAD9CCDB65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5029968"/>
        <c:axId val="445031536"/>
      </c:lineChart>
      <c:catAx>
        <c:axId val="445029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School Year</a:t>
                </a:r>
              </a:p>
            </c:rich>
          </c:tx>
          <c:layout>
            <c:manualLayout>
              <c:xMode val="edge"/>
              <c:yMode val="edge"/>
              <c:x val="0.42342755689411415"/>
              <c:y val="0.830222679378802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031536"/>
        <c:crosses val="autoZero"/>
        <c:auto val="1"/>
        <c:lblAlgn val="ctr"/>
        <c:lblOffset val="100"/>
        <c:noMultiLvlLbl val="0"/>
      </c:catAx>
      <c:valAx>
        <c:axId val="445031536"/>
        <c:scaling>
          <c:orientation val="minMax"/>
          <c:max val="0.15000000000000002"/>
          <c:min val="9.0000000000000024E-2"/>
        </c:scaling>
        <c:delete val="1"/>
        <c:axPos val="l"/>
        <c:numFmt formatCode="0.0%" sourceLinked="1"/>
        <c:majorTickMark val="out"/>
        <c:minorTickMark val="none"/>
        <c:tickLblPos val="nextTo"/>
        <c:crossAx val="44502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DE Blue Green">
      <a:dk1>
        <a:sysClr val="windowText" lastClr="000000"/>
      </a:dk1>
      <a:lt1>
        <a:sysClr val="window" lastClr="FFFFFF"/>
      </a:lt1>
      <a:dk2>
        <a:srgbClr val="5D6770"/>
      </a:dk2>
      <a:lt2>
        <a:srgbClr val="90C8E7"/>
      </a:lt2>
      <a:accent1>
        <a:srgbClr val="232C67"/>
      </a:accent1>
      <a:accent2>
        <a:srgbClr val="235E39"/>
      </a:accent2>
      <a:accent3>
        <a:srgbClr val="26B351"/>
      </a:accent3>
      <a:accent4>
        <a:srgbClr val="825474"/>
      </a:accent4>
      <a:accent5>
        <a:srgbClr val="7C98AC"/>
      </a:accent5>
      <a:accent6>
        <a:srgbClr val="D2D3D3"/>
      </a:accent6>
      <a:hlink>
        <a:srgbClr val="0070C0"/>
      </a:hlink>
      <a:folHlink>
        <a:srgbClr val="F8B3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4A7A73C8F0B488F2B94D68313F34F" ma:contentTypeVersion="7" ma:contentTypeDescription="Create a new document." ma:contentTypeScope="" ma:versionID="78ec9c25a6e245f5dcb706de15828aa3">
  <xsd:schema xmlns:xsd="http://www.w3.org/2001/XMLSchema" xmlns:xs="http://www.w3.org/2001/XMLSchema" xmlns:p="http://schemas.microsoft.com/office/2006/metadata/properties" xmlns:ns2="a8059525-aef1-4c44-802e-e3dcd771b018" xmlns:ns3="41dc37c2-c4c3-4904-a5b9-d3398831a044" targetNamespace="http://schemas.microsoft.com/office/2006/metadata/properties" ma:root="true" ma:fieldsID="a12b976f3ec1a6d86c851ce86903fe12" ns2:_="" ns3:_="">
    <xsd:import namespace="a8059525-aef1-4c44-802e-e3dcd771b018"/>
    <xsd:import namespace="41dc37c2-c4c3-4904-a5b9-d3398831a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59525-aef1-4c44-802e-e3dcd771b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37c2-c4c3-4904-a5b9-d3398831a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A5074-B836-4A04-B13C-89C0B1FC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59525-aef1-4c44-802e-e3dcd771b018"/>
    <ds:schemaRef ds:uri="41dc37c2-c4c3-4904-a5b9-d3398831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491B8-7DE4-4597-8962-55B3D164E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7F68A-4517-4075-AEB3-F293AF8CA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D4F38-463C-478A-822E-85C942906007}">
  <ds:schemaRefs>
    <ds:schemaRef ds:uri="41dc37c2-c4c3-4904-a5b9-d3398831a044"/>
    <ds:schemaRef ds:uri="http://www.w3.org/XML/1998/namespace"/>
    <ds:schemaRef ds:uri="http://schemas.microsoft.com/office/2006/metadata/properties"/>
    <ds:schemaRef ds:uri="a8059525-aef1-4c44-802e-e3dcd771b018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10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Ward, Reagan</cp:lastModifiedBy>
  <cp:revision>5</cp:revision>
  <dcterms:created xsi:type="dcterms:W3CDTF">2024-01-05T23:48:00Z</dcterms:created>
  <dcterms:modified xsi:type="dcterms:W3CDTF">2024-01-09T18:57:00Z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0x0101009144A7A73C8F0B488F2B94D68313F34F</vt:lpwstr>
  </property>
</Properties>
</file>