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212C" w14:textId="3BE2E360" w:rsidR="00884765" w:rsidRDefault="008400ED" w:rsidP="00766870">
      <w:pPr>
        <w:pStyle w:val="Title"/>
      </w:pPr>
      <w:permStart w:id="744388113" w:edGrp="everyone"/>
      <w:permEnd w:id="744388113"/>
      <w:r>
        <w:t>Summary of 2022-23 dropout release</w:t>
      </w:r>
    </w:p>
    <w:p w14:paraId="0F0260FA" w14:textId="2E163299" w:rsidR="0087461D" w:rsidRPr="00F452A0" w:rsidRDefault="368770D3" w:rsidP="00F85B7D">
      <w:pPr>
        <w:pStyle w:val="Heading1"/>
      </w:pPr>
      <w:r>
        <w:t xml:space="preserve">Statewide </w:t>
      </w:r>
      <w:r w:rsidR="005708FB">
        <w:t>d</w:t>
      </w:r>
      <w:r w:rsidR="0087461D">
        <w:t>ropout</w:t>
      </w:r>
      <w:r w:rsidR="0087461D" w:rsidRPr="00F452A0">
        <w:t xml:space="preserve"> </w:t>
      </w:r>
      <w:r w:rsidR="00016357">
        <w:t xml:space="preserve">rate </w:t>
      </w:r>
      <w:r w:rsidR="00185832">
        <w:t>improved in 2022-23</w:t>
      </w:r>
    </w:p>
    <w:p w14:paraId="7594BE70" w14:textId="6D592529" w:rsidR="00D964BC" w:rsidRDefault="00D964BC" w:rsidP="00F85B7D">
      <w:pPr>
        <w:ind w:right="2880"/>
        <w:rPr>
          <w:rFonts w:eastAsia="Calibri" w:cs="Calibri"/>
          <w:color w:val="000000"/>
        </w:rPr>
      </w:pPr>
      <w:r w:rsidRPr="4098BFA6">
        <w:rPr>
          <w:rFonts w:eastAsia="Calibri" w:cs="Calibri"/>
          <w:color w:val="000000" w:themeColor="text1"/>
        </w:rPr>
        <w:t>Overall, dropout rates in 2022-23 improved in comparison to 2021-22.  This included:</w:t>
      </w:r>
    </w:p>
    <w:p w14:paraId="665AD7E1" w14:textId="4053E703" w:rsidR="00D964BC" w:rsidRPr="00952669" w:rsidRDefault="00D964BC" w:rsidP="00F85B7D">
      <w:pPr>
        <w:numPr>
          <w:ilvl w:val="0"/>
          <w:numId w:val="8"/>
        </w:numPr>
        <w:ind w:right="2880"/>
        <w:rPr>
          <w:rFonts w:eastAsia="Calibri" w:cs="Calibri"/>
          <w:color w:val="000000"/>
        </w:rPr>
      </w:pPr>
      <w:r w:rsidRPr="4150D9F6">
        <w:rPr>
          <w:rFonts w:eastAsia="Calibri" w:cs="Calibri"/>
          <w:color w:val="000000" w:themeColor="text1"/>
        </w:rPr>
        <w:t xml:space="preserve">An improvement in the state dropout rate from </w:t>
      </w:r>
      <w:r w:rsidR="00F85B7D" w:rsidRPr="4150D9F6">
        <w:rPr>
          <w:rFonts w:eastAsia="Calibri" w:cs="Calibri"/>
          <w:color w:val="000000" w:themeColor="text1"/>
        </w:rPr>
        <w:t>2.2</w:t>
      </w:r>
      <w:r w:rsidRPr="4150D9F6">
        <w:rPr>
          <w:rFonts w:eastAsia="Calibri" w:cs="Calibri"/>
          <w:color w:val="000000" w:themeColor="text1"/>
        </w:rPr>
        <w:t xml:space="preserve">% to </w:t>
      </w:r>
      <w:r w:rsidR="00F85B7D" w:rsidRPr="4150D9F6">
        <w:rPr>
          <w:rFonts w:eastAsia="Calibri" w:cs="Calibri"/>
          <w:color w:val="000000" w:themeColor="text1"/>
        </w:rPr>
        <w:t>2.1</w:t>
      </w:r>
      <w:r w:rsidRPr="4150D9F6">
        <w:rPr>
          <w:rFonts w:eastAsia="Calibri" w:cs="Calibri"/>
          <w:color w:val="000000" w:themeColor="text1"/>
        </w:rPr>
        <w:t xml:space="preserve">%.  This is a reduction of </w:t>
      </w:r>
      <w:r w:rsidR="00F85B7D" w:rsidRPr="4150D9F6">
        <w:rPr>
          <w:rFonts w:eastAsia="Calibri" w:cs="Calibri"/>
          <w:color w:val="000000" w:themeColor="text1"/>
        </w:rPr>
        <w:t>0.1</w:t>
      </w:r>
      <w:r w:rsidRPr="4150D9F6">
        <w:rPr>
          <w:rFonts w:eastAsia="Calibri" w:cs="Calibri"/>
          <w:color w:val="000000" w:themeColor="text1"/>
        </w:rPr>
        <w:t xml:space="preserve"> percentage points and represents </w:t>
      </w:r>
      <w:r w:rsidR="4562123B" w:rsidRPr="00A852A5">
        <w:rPr>
          <w:rFonts w:eastAsia="Calibri" w:cs="Calibri"/>
          <w:color w:val="000000" w:themeColor="text1"/>
        </w:rPr>
        <w:t>859</w:t>
      </w:r>
      <w:r w:rsidR="4562123B" w:rsidRPr="263D2C4A">
        <w:rPr>
          <w:rFonts w:eastAsia="Calibri" w:cs="Calibri"/>
          <w:color w:val="000000" w:themeColor="text1"/>
        </w:rPr>
        <w:t xml:space="preserve"> </w:t>
      </w:r>
      <w:r w:rsidRPr="263D2C4A">
        <w:rPr>
          <w:rFonts w:eastAsia="Calibri" w:cs="Calibri"/>
          <w:color w:val="000000" w:themeColor="text1"/>
        </w:rPr>
        <w:t>fewer</w:t>
      </w:r>
      <w:r w:rsidRPr="4150D9F6">
        <w:rPr>
          <w:rFonts w:eastAsia="Calibri" w:cs="Calibri"/>
          <w:color w:val="000000" w:themeColor="text1"/>
        </w:rPr>
        <w:t xml:space="preserve"> students </w:t>
      </w:r>
      <w:r w:rsidR="0023298D" w:rsidRPr="4150D9F6">
        <w:rPr>
          <w:rFonts w:eastAsia="Calibri" w:cs="Calibri"/>
          <w:color w:val="000000" w:themeColor="text1"/>
        </w:rPr>
        <w:t>in grades 7-12 who dropped out.</w:t>
      </w:r>
    </w:p>
    <w:p w14:paraId="3EFFD4A4" w14:textId="490E29D4" w:rsidR="00D964BC" w:rsidRDefault="00D964BC" w:rsidP="00F85B7D">
      <w:pPr>
        <w:pStyle w:val="ListParagraph"/>
        <w:numPr>
          <w:ilvl w:val="0"/>
          <w:numId w:val="7"/>
        </w:numPr>
        <w:ind w:right="2880"/>
        <w:rPr>
          <w:rFonts w:eastAsia="Calibri" w:cs="Calibri"/>
          <w:color w:val="000000"/>
        </w:rPr>
      </w:pPr>
      <w:r w:rsidRPr="0FEF350E">
        <w:rPr>
          <w:rFonts w:eastAsia="Calibri" w:cs="Calibri"/>
          <w:color w:val="000000" w:themeColor="text1"/>
        </w:rPr>
        <w:t xml:space="preserve">About </w:t>
      </w:r>
      <w:r w:rsidR="03ACEF84" w:rsidRPr="0FEF350E">
        <w:rPr>
          <w:rFonts w:eastAsia="Calibri" w:cs="Calibri"/>
          <w:color w:val="000000" w:themeColor="text1"/>
        </w:rPr>
        <w:t>80</w:t>
      </w:r>
      <w:r w:rsidRPr="0FEF350E">
        <w:rPr>
          <w:rFonts w:eastAsia="Calibri" w:cs="Calibri"/>
          <w:color w:val="000000" w:themeColor="text1"/>
        </w:rPr>
        <w:t xml:space="preserve">% of districts had </w:t>
      </w:r>
      <w:r w:rsidR="0023298D" w:rsidRPr="0FEF350E">
        <w:rPr>
          <w:rFonts w:eastAsia="Calibri" w:cs="Calibri"/>
          <w:color w:val="000000" w:themeColor="text1"/>
        </w:rPr>
        <w:t>dropout</w:t>
      </w:r>
      <w:r w:rsidRPr="0FEF350E">
        <w:rPr>
          <w:rFonts w:eastAsia="Calibri" w:cs="Calibri"/>
          <w:color w:val="000000" w:themeColor="text1"/>
        </w:rPr>
        <w:t xml:space="preserve"> rates that were the same or better </w:t>
      </w:r>
      <w:r w:rsidR="008D03A6" w:rsidRPr="0FEF350E">
        <w:rPr>
          <w:rFonts w:eastAsia="Calibri" w:cs="Calibri"/>
          <w:color w:val="000000" w:themeColor="text1"/>
        </w:rPr>
        <w:t xml:space="preserve">than the prior year </w:t>
      </w:r>
      <w:r w:rsidRPr="0FEF350E">
        <w:rPr>
          <w:rFonts w:eastAsia="Calibri" w:cs="Calibri"/>
          <w:color w:val="000000" w:themeColor="text1"/>
        </w:rPr>
        <w:t>(148 of the 185 local education agencies or BOCES).</w:t>
      </w:r>
    </w:p>
    <w:p w14:paraId="77D0DBEE" w14:textId="53ECBD2E" w:rsidR="00B2379B" w:rsidRPr="00B01D62" w:rsidRDefault="6CDB5961" w:rsidP="095BEB5E">
      <w:pPr>
        <w:pStyle w:val="ListParagraph"/>
        <w:numPr>
          <w:ilvl w:val="0"/>
          <w:numId w:val="7"/>
        </w:numPr>
        <w:spacing w:before="240"/>
        <w:ind w:right="2880"/>
        <w:rPr>
          <w:rFonts w:eastAsia="Calibri" w:cs="Calibri"/>
          <w:color w:val="000000" w:themeColor="text1"/>
        </w:rPr>
      </w:pPr>
      <w:r w:rsidRPr="3FD35BF6">
        <w:rPr>
          <w:rFonts w:eastAsia="Calibri" w:cs="Calibri"/>
          <w:color w:val="000000" w:themeColor="text1"/>
        </w:rPr>
        <w:t xml:space="preserve">The dropout </w:t>
      </w:r>
      <w:r w:rsidRPr="3BEDB979">
        <w:rPr>
          <w:rFonts w:eastAsia="Calibri" w:cs="Calibri"/>
          <w:color w:val="000000" w:themeColor="text1"/>
        </w:rPr>
        <w:t>rate in 2</w:t>
      </w:r>
      <w:r w:rsidR="00406BDE" w:rsidRPr="3BEDB979">
        <w:rPr>
          <w:rFonts w:eastAsia="Calibri" w:cs="Calibri"/>
          <w:color w:val="000000" w:themeColor="text1"/>
        </w:rPr>
        <w:t>021</w:t>
      </w:r>
      <w:r w:rsidR="00406BDE" w:rsidRPr="194A3CA5">
        <w:rPr>
          <w:rFonts w:eastAsia="Calibri" w:cs="Calibri"/>
          <w:color w:val="000000" w:themeColor="text1"/>
        </w:rPr>
        <w:t>-22</w:t>
      </w:r>
      <w:r w:rsidR="274E83DA" w:rsidRPr="7B0906CB">
        <w:rPr>
          <w:rFonts w:eastAsia="Calibri" w:cs="Calibri"/>
          <w:color w:val="000000" w:themeColor="text1"/>
        </w:rPr>
        <w:t xml:space="preserve"> increased substantially over the </w:t>
      </w:r>
      <w:r w:rsidR="274E83DA" w:rsidRPr="1ADC8BE9">
        <w:rPr>
          <w:rFonts w:eastAsia="Calibri" w:cs="Calibri"/>
          <w:color w:val="000000" w:themeColor="text1"/>
        </w:rPr>
        <w:t>previous year</w:t>
      </w:r>
      <w:r w:rsidR="274E83DA" w:rsidRPr="2C0D1734">
        <w:rPr>
          <w:rFonts w:eastAsia="Calibri" w:cs="Calibri"/>
          <w:color w:val="000000" w:themeColor="text1"/>
        </w:rPr>
        <w:t xml:space="preserve">.  </w:t>
      </w:r>
      <w:r w:rsidR="274E83DA" w:rsidRPr="5D7D5A91">
        <w:rPr>
          <w:rFonts w:eastAsia="Calibri" w:cs="Calibri"/>
          <w:color w:val="000000" w:themeColor="text1"/>
        </w:rPr>
        <w:t>With the reduction in 2022-</w:t>
      </w:r>
      <w:r w:rsidR="274E83DA" w:rsidRPr="4196685D">
        <w:rPr>
          <w:rFonts w:eastAsia="Calibri" w:cs="Calibri"/>
          <w:color w:val="000000" w:themeColor="text1"/>
        </w:rPr>
        <w:t xml:space="preserve">23, the rate is now </w:t>
      </w:r>
      <w:proofErr w:type="gramStart"/>
      <w:r w:rsidR="274E83DA" w:rsidRPr="4196685D">
        <w:rPr>
          <w:rFonts w:eastAsia="Calibri" w:cs="Calibri"/>
          <w:color w:val="000000" w:themeColor="text1"/>
        </w:rPr>
        <w:t>similar to</w:t>
      </w:r>
      <w:proofErr w:type="gramEnd"/>
      <w:r w:rsidR="274E83DA" w:rsidRPr="4196685D">
        <w:rPr>
          <w:rFonts w:eastAsia="Calibri" w:cs="Calibri"/>
          <w:color w:val="000000" w:themeColor="text1"/>
        </w:rPr>
        <w:t xml:space="preserve"> 2017-</w:t>
      </w:r>
      <w:r w:rsidR="274E83DA" w:rsidRPr="57163869">
        <w:rPr>
          <w:rFonts w:eastAsia="Calibri" w:cs="Calibri"/>
          <w:color w:val="000000" w:themeColor="text1"/>
        </w:rPr>
        <w:t>18.</w:t>
      </w:r>
    </w:p>
    <w:p w14:paraId="6DA28DD8" w14:textId="6DA251F8" w:rsidR="00B2379B" w:rsidRDefault="00D14C6E" w:rsidP="00545135">
      <w:pPr>
        <w:spacing w:before="240" w:after="240"/>
        <w:ind w:right="2880"/>
        <w:rPr>
          <w:rFonts w:eastAsia="Calibri" w:cs="Calibri"/>
          <w:color w:val="000000"/>
          <w:szCs w:val="22"/>
        </w:rPr>
      </w:pPr>
      <w:r>
        <w:rPr>
          <w:rFonts w:eastAsia="Calibri" w:cs="Calibri"/>
          <w:noProof/>
          <w:color w:val="000000"/>
        </w:rPr>
        <w:drawing>
          <wp:inline distT="0" distB="0" distL="0" distR="0" wp14:anchorId="072F955A" wp14:editId="4E303E74">
            <wp:extent cx="4437185" cy="1693545"/>
            <wp:effectExtent l="0" t="0" r="1905" b="1905"/>
            <wp:docPr id="1412402204" name="Chart 1" descr="Line graph showing Colorado dropout rate trends from 2016-17 school year through 2022-2023 school year.&#10;2016-17 is 2.3%&#10;2017-18 is 2.2%&#10;2018-19 is 2.0%&#10;2019-20 is 1.8%&#10;2020-21 is 1.8%&#10;2021-22 is 2.2%&#10;2022-23 i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EBD6D4" w14:textId="51D3F3C6" w:rsidR="00A21AF4" w:rsidRDefault="00A21AF4" w:rsidP="00545135">
      <w:pPr>
        <w:pStyle w:val="Heading2"/>
        <w:spacing w:before="0"/>
        <w:ind w:right="2880"/>
      </w:pPr>
      <w:r>
        <w:t xml:space="preserve">Race/Ethnicity subgroups show ongoing </w:t>
      </w:r>
      <w:proofErr w:type="gramStart"/>
      <w:r>
        <w:t>gaps</w:t>
      </w:r>
      <w:proofErr w:type="gramEnd"/>
    </w:p>
    <w:p w14:paraId="223A5196" w14:textId="6922E162" w:rsidR="649A0D02" w:rsidRDefault="649A0D02" w:rsidP="00B01D62">
      <w:pPr>
        <w:spacing w:line="259" w:lineRule="auto"/>
        <w:ind w:right="2880"/>
      </w:pPr>
      <w:r>
        <w:t>Historically, there have been gaps between different racial/ethnic groups</w:t>
      </w:r>
      <w:r w:rsidR="55451C63">
        <w:t xml:space="preserve"> in the dropout rate</w:t>
      </w:r>
      <w:r>
        <w:t xml:space="preserve">.  </w:t>
      </w:r>
      <w:r w:rsidR="11DA2C1C">
        <w:t>In the 2022-23 data, th</w:t>
      </w:r>
      <w:r>
        <w:t xml:space="preserve">is is </w:t>
      </w:r>
      <w:r w:rsidR="5BFCE569">
        <w:t xml:space="preserve">evident </w:t>
      </w:r>
      <w:r>
        <w:t xml:space="preserve">between students of color and white students with some variation between different groups within those categories. </w:t>
      </w:r>
    </w:p>
    <w:p w14:paraId="70BC2509" w14:textId="12D32EC2" w:rsidR="5711D7B3" w:rsidRDefault="674BAED4" w:rsidP="00B01D62">
      <w:pPr>
        <w:pStyle w:val="ListParagraph"/>
        <w:numPr>
          <w:ilvl w:val="0"/>
          <w:numId w:val="10"/>
        </w:numPr>
        <w:spacing w:line="259" w:lineRule="auto"/>
        <w:ind w:right="2880"/>
        <w:rPr>
          <w:szCs w:val="22"/>
        </w:rPr>
      </w:pPr>
      <w:r>
        <w:t>The gap between students of color and white students decreased but remained</w:t>
      </w:r>
      <w:r w:rsidR="6E7FBA35">
        <w:t xml:space="preserve"> 2 percentage points apart.  This represents </w:t>
      </w:r>
      <w:r w:rsidR="00BA22B0">
        <w:t>6844</w:t>
      </w:r>
      <w:r w:rsidR="6E7FBA35">
        <w:t xml:space="preserve"> students of color in comparison to </w:t>
      </w:r>
      <w:r w:rsidR="00BA22B0">
        <w:t>2821</w:t>
      </w:r>
      <w:r w:rsidR="6E7FBA35">
        <w:t xml:space="preserve"> white students</w:t>
      </w:r>
      <w:r w:rsidR="00BA22B0">
        <w:t xml:space="preserve"> dropping out in</w:t>
      </w:r>
      <w:r w:rsidR="000B5FC1">
        <w:t xml:space="preserve"> 2022-23 which is significant when </w:t>
      </w:r>
      <w:r w:rsidR="000A46DF">
        <w:t xml:space="preserve">considering students of color </w:t>
      </w:r>
      <w:r w:rsidR="009503AF">
        <w:t>make up</w:t>
      </w:r>
      <w:r w:rsidR="000A46DF">
        <w:t xml:space="preserve"> half </w:t>
      </w:r>
      <w:r w:rsidR="009503AF">
        <w:t xml:space="preserve">of </w:t>
      </w:r>
      <w:r w:rsidR="000A46DF">
        <w:t>t</w:t>
      </w:r>
      <w:r w:rsidR="009503AF">
        <w:t>he total 7</w:t>
      </w:r>
      <w:r w:rsidR="009503AF" w:rsidRPr="2C5540C9">
        <w:rPr>
          <w:vertAlign w:val="superscript"/>
        </w:rPr>
        <w:t>th</w:t>
      </w:r>
      <w:r w:rsidR="009503AF">
        <w:t>-12</w:t>
      </w:r>
      <w:r w:rsidR="009503AF" w:rsidRPr="2C5540C9">
        <w:rPr>
          <w:vertAlign w:val="superscript"/>
        </w:rPr>
        <w:t>th</w:t>
      </w:r>
      <w:r w:rsidR="009503AF">
        <w:t xml:space="preserve"> grade membership base this year.</w:t>
      </w:r>
    </w:p>
    <w:p w14:paraId="787CC6BF" w14:textId="78B56AA2" w:rsidR="003E5E15" w:rsidRPr="00A21AF4" w:rsidRDefault="003E5E15" w:rsidP="00545135">
      <w:pPr>
        <w:spacing w:before="240"/>
      </w:pPr>
      <w:r w:rsidRPr="003E5E15">
        <w:rPr>
          <w:noProof/>
        </w:rPr>
        <w:drawing>
          <wp:inline distT="0" distB="0" distL="0" distR="0" wp14:anchorId="62C8CBC0" wp14:editId="7EA48FD6">
            <wp:extent cx="4436745" cy="1682496"/>
            <wp:effectExtent l="0" t="0" r="1905" b="13335"/>
            <wp:docPr id="1455104820" name="Chart 1" descr="Line graph showing ongoing gaps in gender and race ethnicity dropout rates over the past 6 years. See the dropout statistics website for data tables containing specific values for each race/ethnicity and gender subgroup category.">
              <a:extLst xmlns:a="http://schemas.openxmlformats.org/drawingml/2006/main">
                <a:ext uri="{FF2B5EF4-FFF2-40B4-BE49-F238E27FC236}">
                  <a16:creationId xmlns:a16="http://schemas.microsoft.com/office/drawing/2014/main" id="{A2F210C6-DA8A-A51D-F9DC-8B22F9BEC3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CE7E7" w14:textId="6760FF87" w:rsidR="006D5688" w:rsidRDefault="00C15373" w:rsidP="00C15373">
      <w:pPr>
        <w:pStyle w:val="Heading2"/>
      </w:pPr>
      <w:r>
        <w:lastRenderedPageBreak/>
        <w:t xml:space="preserve">Dropout Rate by </w:t>
      </w:r>
      <w:r w:rsidR="00415DF3">
        <w:t>Instructional Program Service Type (IPST)</w:t>
      </w:r>
    </w:p>
    <w:p w14:paraId="0D393CB2" w14:textId="56924415" w:rsidR="5CB19CF2" w:rsidRDefault="6E03C7DE">
      <w:r>
        <w:t xml:space="preserve">Data from 2022-23 had gaps in the rates between student groups.  This is </w:t>
      </w:r>
      <w:proofErr w:type="gramStart"/>
      <w:r>
        <w:t>similar to</w:t>
      </w:r>
      <w:proofErr w:type="gramEnd"/>
      <w:r>
        <w:t xml:space="preserve"> trends seen in previous year</w:t>
      </w:r>
      <w:r w:rsidR="00F01C14">
        <w:t>s</w:t>
      </w:r>
      <w:r>
        <w:t>.</w:t>
      </w:r>
    </w:p>
    <w:p w14:paraId="455DC7C4" w14:textId="08BE125B" w:rsidR="6E03C7DE" w:rsidRDefault="6E03C7DE" w:rsidP="02657E83">
      <w:pPr>
        <w:pStyle w:val="ListParagraph"/>
        <w:numPr>
          <w:ilvl w:val="0"/>
          <w:numId w:val="11"/>
        </w:numPr>
        <w:rPr>
          <w:szCs w:val="22"/>
        </w:rPr>
      </w:pPr>
      <w:proofErr w:type="gramStart"/>
      <w:r w:rsidRPr="02657E83">
        <w:rPr>
          <w:szCs w:val="22"/>
        </w:rPr>
        <w:t>A number of</w:t>
      </w:r>
      <w:proofErr w:type="gramEnd"/>
      <w:r w:rsidRPr="02657E83">
        <w:rPr>
          <w:szCs w:val="22"/>
        </w:rPr>
        <w:t xml:space="preserve"> student groups improved at a </w:t>
      </w:r>
      <w:r w:rsidRPr="4CD422D6">
        <w:rPr>
          <w:szCs w:val="22"/>
        </w:rPr>
        <w:t>faster</w:t>
      </w:r>
      <w:r w:rsidRPr="02657E83">
        <w:rPr>
          <w:szCs w:val="22"/>
        </w:rPr>
        <w:t xml:space="preserve"> rate than the statewide </w:t>
      </w:r>
      <w:r w:rsidRPr="2CFB7C57">
        <w:rPr>
          <w:szCs w:val="22"/>
        </w:rPr>
        <w:t>improvement</w:t>
      </w:r>
      <w:r w:rsidRPr="4CD422D6">
        <w:rPr>
          <w:szCs w:val="22"/>
        </w:rPr>
        <w:t>;</w:t>
      </w:r>
      <w:r w:rsidRPr="3E50B2F7">
        <w:rPr>
          <w:szCs w:val="22"/>
        </w:rPr>
        <w:t xml:space="preserve"> </w:t>
      </w:r>
      <w:r w:rsidRPr="5CC9965F">
        <w:rPr>
          <w:szCs w:val="22"/>
        </w:rPr>
        <w:t>English Learners</w:t>
      </w:r>
      <w:r w:rsidRPr="0DEDF262">
        <w:rPr>
          <w:szCs w:val="22"/>
        </w:rPr>
        <w:t xml:space="preserve"> </w:t>
      </w:r>
      <w:r w:rsidRPr="2EE5C4C4">
        <w:rPr>
          <w:szCs w:val="22"/>
        </w:rPr>
        <w:t>(</w:t>
      </w:r>
      <w:r w:rsidR="00767BE5">
        <w:rPr>
          <w:szCs w:val="22"/>
        </w:rPr>
        <w:t>0</w:t>
      </w:r>
      <w:r w:rsidR="1D7D7FF6" w:rsidRPr="2EE5C4C4">
        <w:rPr>
          <w:szCs w:val="22"/>
        </w:rPr>
        <w:t>.3</w:t>
      </w:r>
      <w:r w:rsidR="00767BE5">
        <w:rPr>
          <w:szCs w:val="22"/>
        </w:rPr>
        <w:t>%</w:t>
      </w:r>
      <w:r w:rsidR="1D7D7FF6" w:rsidRPr="2EE5C4C4">
        <w:rPr>
          <w:szCs w:val="22"/>
        </w:rPr>
        <w:t xml:space="preserve"> </w:t>
      </w:r>
      <w:r w:rsidR="1D7D7FF6" w:rsidRPr="69FBBB77">
        <w:rPr>
          <w:szCs w:val="22"/>
        </w:rPr>
        <w:t>change</w:t>
      </w:r>
      <w:r w:rsidR="1D7D7FF6" w:rsidRPr="4C7F51D6">
        <w:rPr>
          <w:szCs w:val="22"/>
        </w:rPr>
        <w:t xml:space="preserve">), </w:t>
      </w:r>
      <w:r w:rsidR="1D7D7FF6" w:rsidRPr="2DEFA3F1">
        <w:rPr>
          <w:szCs w:val="22"/>
        </w:rPr>
        <w:t xml:space="preserve">Economically </w:t>
      </w:r>
      <w:r w:rsidR="1D7D7FF6" w:rsidRPr="386D25B9">
        <w:rPr>
          <w:szCs w:val="22"/>
        </w:rPr>
        <w:t>disadvantaged (</w:t>
      </w:r>
      <w:r w:rsidR="00767BE5">
        <w:rPr>
          <w:szCs w:val="22"/>
        </w:rPr>
        <w:t>0</w:t>
      </w:r>
      <w:r w:rsidR="1D7D7FF6" w:rsidRPr="386D25B9">
        <w:rPr>
          <w:szCs w:val="22"/>
        </w:rPr>
        <w:t>.4</w:t>
      </w:r>
      <w:r w:rsidR="00767BE5">
        <w:rPr>
          <w:szCs w:val="22"/>
        </w:rPr>
        <w:t>%</w:t>
      </w:r>
      <w:r w:rsidR="1D7D7FF6" w:rsidRPr="386D25B9">
        <w:rPr>
          <w:szCs w:val="22"/>
        </w:rPr>
        <w:t xml:space="preserve"> </w:t>
      </w:r>
      <w:r w:rsidR="1D7D7FF6" w:rsidRPr="2FC321E1">
        <w:rPr>
          <w:szCs w:val="22"/>
        </w:rPr>
        <w:t>change</w:t>
      </w:r>
      <w:r w:rsidR="1D7D7FF6" w:rsidRPr="386D25B9">
        <w:rPr>
          <w:szCs w:val="22"/>
        </w:rPr>
        <w:t>),</w:t>
      </w:r>
      <w:r w:rsidR="1D7D7FF6" w:rsidRPr="15D09951">
        <w:rPr>
          <w:szCs w:val="22"/>
        </w:rPr>
        <w:t xml:space="preserve"> Migrant students (1.</w:t>
      </w:r>
      <w:r w:rsidR="1D7D7FF6" w:rsidRPr="5F1D8110">
        <w:rPr>
          <w:szCs w:val="22"/>
        </w:rPr>
        <w:t>0</w:t>
      </w:r>
      <w:r w:rsidR="00767BE5">
        <w:rPr>
          <w:szCs w:val="22"/>
        </w:rPr>
        <w:t>%</w:t>
      </w:r>
      <w:r w:rsidR="1D7D7FF6" w:rsidRPr="5F1D8110">
        <w:rPr>
          <w:szCs w:val="22"/>
        </w:rPr>
        <w:t xml:space="preserve"> change</w:t>
      </w:r>
      <w:r w:rsidR="1D7D7FF6" w:rsidRPr="2EAEAEAD">
        <w:rPr>
          <w:szCs w:val="22"/>
        </w:rPr>
        <w:t xml:space="preserve">), </w:t>
      </w:r>
      <w:r w:rsidR="1D7D7FF6" w:rsidRPr="34B31EFD">
        <w:rPr>
          <w:szCs w:val="22"/>
        </w:rPr>
        <w:t>students at a Title I school (</w:t>
      </w:r>
      <w:r w:rsidR="00767BE5">
        <w:rPr>
          <w:szCs w:val="22"/>
        </w:rPr>
        <w:t>0</w:t>
      </w:r>
      <w:r w:rsidR="1D7D7FF6" w:rsidRPr="34B31EFD">
        <w:rPr>
          <w:szCs w:val="22"/>
        </w:rPr>
        <w:t>.4</w:t>
      </w:r>
      <w:r w:rsidR="00767BE5">
        <w:rPr>
          <w:szCs w:val="22"/>
        </w:rPr>
        <w:t>%</w:t>
      </w:r>
      <w:r w:rsidR="1D7D7FF6" w:rsidRPr="34B31EFD">
        <w:rPr>
          <w:szCs w:val="22"/>
        </w:rPr>
        <w:t xml:space="preserve"> </w:t>
      </w:r>
      <w:r w:rsidR="1D7D7FF6" w:rsidRPr="75009A6C">
        <w:rPr>
          <w:szCs w:val="22"/>
        </w:rPr>
        <w:t>change</w:t>
      </w:r>
      <w:r w:rsidR="1D7D7FF6" w:rsidRPr="791D5300">
        <w:rPr>
          <w:szCs w:val="22"/>
        </w:rPr>
        <w:t xml:space="preserve">), and </w:t>
      </w:r>
      <w:r w:rsidR="1D7D7FF6" w:rsidRPr="4483E731">
        <w:rPr>
          <w:szCs w:val="22"/>
        </w:rPr>
        <w:t>homele</w:t>
      </w:r>
      <w:r w:rsidR="5FD31C05" w:rsidRPr="4483E731">
        <w:rPr>
          <w:szCs w:val="22"/>
        </w:rPr>
        <w:t>ss students (</w:t>
      </w:r>
      <w:r w:rsidR="00767BE5">
        <w:rPr>
          <w:szCs w:val="22"/>
        </w:rPr>
        <w:t>0</w:t>
      </w:r>
      <w:r w:rsidR="5FD31C05" w:rsidRPr="4483E731">
        <w:rPr>
          <w:szCs w:val="22"/>
        </w:rPr>
        <w:t>.4</w:t>
      </w:r>
      <w:r w:rsidR="00767BE5">
        <w:rPr>
          <w:szCs w:val="22"/>
        </w:rPr>
        <w:t>%</w:t>
      </w:r>
      <w:r w:rsidR="5FD31C05" w:rsidRPr="4483E731">
        <w:rPr>
          <w:szCs w:val="22"/>
        </w:rPr>
        <w:t xml:space="preserve"> </w:t>
      </w:r>
      <w:r w:rsidR="5FD31C05" w:rsidRPr="70EA3ACC">
        <w:rPr>
          <w:szCs w:val="22"/>
        </w:rPr>
        <w:t>change</w:t>
      </w:r>
      <w:r w:rsidR="5FD31C05" w:rsidRPr="29527E9C">
        <w:rPr>
          <w:szCs w:val="22"/>
        </w:rPr>
        <w:t xml:space="preserve">). </w:t>
      </w:r>
    </w:p>
    <w:p w14:paraId="54F04868" w14:textId="0AAF8A39" w:rsidR="69FBBB77" w:rsidRDefault="5FD31C05" w:rsidP="69FBBB77">
      <w:pPr>
        <w:pStyle w:val="ListParagraph"/>
        <w:numPr>
          <w:ilvl w:val="0"/>
          <w:numId w:val="11"/>
        </w:numPr>
        <w:rPr>
          <w:szCs w:val="22"/>
        </w:rPr>
      </w:pPr>
      <w:r w:rsidRPr="1D3C549C">
        <w:rPr>
          <w:szCs w:val="22"/>
        </w:rPr>
        <w:t xml:space="preserve">Students in Foster </w:t>
      </w:r>
      <w:r w:rsidRPr="5E034C60">
        <w:rPr>
          <w:szCs w:val="22"/>
        </w:rPr>
        <w:t>care had a higher dropout</w:t>
      </w:r>
      <w:r w:rsidRPr="1880DCE6">
        <w:rPr>
          <w:szCs w:val="22"/>
        </w:rPr>
        <w:t xml:space="preserve"> rate than in </w:t>
      </w:r>
      <w:r w:rsidRPr="3714EA86">
        <w:rPr>
          <w:szCs w:val="22"/>
        </w:rPr>
        <w:t xml:space="preserve">2021-22 and the highest rate among </w:t>
      </w:r>
      <w:r w:rsidRPr="63C2C5C1">
        <w:rPr>
          <w:szCs w:val="22"/>
        </w:rPr>
        <w:t xml:space="preserve">collected </w:t>
      </w:r>
      <w:r w:rsidRPr="5A249A4F">
        <w:rPr>
          <w:szCs w:val="22"/>
        </w:rPr>
        <w:t>program types.</w:t>
      </w:r>
    </w:p>
    <w:p w14:paraId="036B3951" w14:textId="562B2F8F" w:rsidR="00280873" w:rsidRDefault="006374DE" w:rsidP="00545135">
      <w:pPr>
        <w:spacing w:before="240" w:after="240"/>
      </w:pPr>
      <w:r w:rsidRPr="006374DE">
        <w:rPr>
          <w:noProof/>
        </w:rPr>
        <w:drawing>
          <wp:inline distT="0" distB="0" distL="0" distR="0" wp14:anchorId="51CC73D0" wp14:editId="16EB8835">
            <wp:extent cx="6400800" cy="2560320"/>
            <wp:effectExtent l="0" t="0" r="0" b="11430"/>
            <wp:docPr id="2138112643" name="Chart 1" descr="Side by Side bar graph showing Colorado Dropout rates by Instructional Program Service Type for 2021-2022 and 2022-2023 school years.">
              <a:extLst xmlns:a="http://schemas.openxmlformats.org/drawingml/2006/main">
                <a:ext uri="{FF2B5EF4-FFF2-40B4-BE49-F238E27FC236}">
                  <a16:creationId xmlns:a16="http://schemas.microsoft.com/office/drawing/2014/main" id="{DDC3EAE4-D68D-1BF8-953B-C80F74C51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FE1FDD" w14:textId="0AF020CD" w:rsidR="33D85196" w:rsidRDefault="4921DC58" w:rsidP="00545135">
      <w:pPr>
        <w:pStyle w:val="Heading2"/>
        <w:spacing w:before="0"/>
      </w:pPr>
      <w:r>
        <w:t>Re-en</w:t>
      </w:r>
      <w:r w:rsidR="16605A60">
        <w:t>rollment and re-en</w:t>
      </w:r>
      <w:r>
        <w:t>gagement rates</w:t>
      </w:r>
    </w:p>
    <w:p w14:paraId="6ED375F1" w14:textId="740C83FD" w:rsidR="610E2176" w:rsidRDefault="4921DC58" w:rsidP="126F3CE2">
      <w:pPr>
        <w:spacing w:line="259" w:lineRule="auto"/>
      </w:pPr>
      <w:r>
        <w:t>Students who drop out can re-enroll in school and continue their education</w:t>
      </w:r>
      <w:r w:rsidR="49EA4983">
        <w:t xml:space="preserve"> with</w:t>
      </w:r>
      <w:r w:rsidR="00D8A131">
        <w:t>in</w:t>
      </w:r>
      <w:r w:rsidR="49EA4983">
        <w:t xml:space="preserve"> the same year or in future years</w:t>
      </w:r>
      <w:r>
        <w:t xml:space="preserve">.  </w:t>
      </w:r>
    </w:p>
    <w:p w14:paraId="5EB724C3" w14:textId="64811DEF" w:rsidR="610E2176" w:rsidRDefault="7B028FCD" w:rsidP="610E2176">
      <w:pPr>
        <w:pStyle w:val="ListParagraph"/>
        <w:numPr>
          <w:ilvl w:val="0"/>
          <w:numId w:val="13"/>
        </w:numPr>
        <w:spacing w:line="259" w:lineRule="auto"/>
      </w:pPr>
      <w:r>
        <w:t>22.7</w:t>
      </w:r>
      <w:r w:rsidR="4921DC58">
        <w:t xml:space="preserve"> % of dropouts from 21-22 re-enrolled in 22-23.  This was </w:t>
      </w:r>
      <w:r w:rsidR="7F83E9EF">
        <w:t>2,385</w:t>
      </w:r>
      <w:r w:rsidR="4921DC58">
        <w:t xml:space="preserve"> students.</w:t>
      </w:r>
      <w:r w:rsidR="2DAE19C2">
        <w:t xml:space="preserve"> Of this group of students:</w:t>
      </w:r>
    </w:p>
    <w:p w14:paraId="483258A3" w14:textId="250724A7" w:rsidR="5A7A1D1E" w:rsidRDefault="005432CC" w:rsidP="5A7A1D1E">
      <w:pPr>
        <w:pStyle w:val="ListParagraph"/>
        <w:numPr>
          <w:ilvl w:val="1"/>
          <w:numId w:val="13"/>
        </w:numPr>
        <w:spacing w:line="259" w:lineRule="auto"/>
        <w:rPr>
          <w:szCs w:val="22"/>
        </w:rPr>
      </w:pPr>
      <w:r>
        <w:rPr>
          <w:szCs w:val="22"/>
        </w:rPr>
        <w:t xml:space="preserve">64.5% </w:t>
      </w:r>
      <w:r w:rsidR="003016BC">
        <w:rPr>
          <w:szCs w:val="22"/>
        </w:rPr>
        <w:t xml:space="preserve">reengaged </w:t>
      </w:r>
      <w:r w:rsidR="003A7474">
        <w:rPr>
          <w:szCs w:val="22"/>
        </w:rPr>
        <w:t xml:space="preserve">in </w:t>
      </w:r>
      <w:r w:rsidR="00A55821">
        <w:rPr>
          <w:szCs w:val="22"/>
        </w:rPr>
        <w:t xml:space="preserve">their </w:t>
      </w:r>
      <w:r w:rsidR="003A7474">
        <w:rPr>
          <w:szCs w:val="22"/>
        </w:rPr>
        <w:t>education</w:t>
      </w:r>
      <w:r w:rsidR="00905702">
        <w:rPr>
          <w:szCs w:val="22"/>
        </w:rPr>
        <w:t xml:space="preserve"> by</w:t>
      </w:r>
      <w:r w:rsidR="00077DDB">
        <w:rPr>
          <w:szCs w:val="22"/>
        </w:rPr>
        <w:t xml:space="preserve"> </w:t>
      </w:r>
      <w:r w:rsidR="3A87252D" w:rsidRPr="5F0B2803">
        <w:rPr>
          <w:szCs w:val="22"/>
        </w:rPr>
        <w:t>graduat</w:t>
      </w:r>
      <w:r w:rsidR="00905702">
        <w:rPr>
          <w:szCs w:val="22"/>
        </w:rPr>
        <w:t>ing</w:t>
      </w:r>
      <w:r w:rsidR="3A87252D" w:rsidRPr="5F0B2803">
        <w:rPr>
          <w:szCs w:val="22"/>
        </w:rPr>
        <w:t>, complet</w:t>
      </w:r>
      <w:r w:rsidR="00905702">
        <w:rPr>
          <w:szCs w:val="22"/>
        </w:rPr>
        <w:t>ing</w:t>
      </w:r>
      <w:r w:rsidR="3A87252D" w:rsidRPr="5F0B2803">
        <w:rPr>
          <w:szCs w:val="22"/>
        </w:rPr>
        <w:t xml:space="preserve">, </w:t>
      </w:r>
      <w:r w:rsidR="00905702">
        <w:rPr>
          <w:szCs w:val="22"/>
        </w:rPr>
        <w:t xml:space="preserve">attending an HSED preparation program, </w:t>
      </w:r>
      <w:r w:rsidR="3A87252D" w:rsidRPr="5F0B2803">
        <w:rPr>
          <w:szCs w:val="22"/>
        </w:rPr>
        <w:t>or remain</w:t>
      </w:r>
      <w:r w:rsidR="00A55821">
        <w:rPr>
          <w:szCs w:val="22"/>
        </w:rPr>
        <w:t>ing</w:t>
      </w:r>
      <w:r w:rsidR="3A87252D" w:rsidRPr="5F0B2803">
        <w:rPr>
          <w:szCs w:val="22"/>
        </w:rPr>
        <w:t xml:space="preserve"> </w:t>
      </w:r>
      <w:r w:rsidR="3A87252D" w:rsidRPr="2BB133B1">
        <w:rPr>
          <w:szCs w:val="22"/>
        </w:rPr>
        <w:t xml:space="preserve">in school </w:t>
      </w:r>
      <w:r w:rsidR="00905702">
        <w:rPr>
          <w:szCs w:val="22"/>
        </w:rPr>
        <w:t>(</w:t>
      </w:r>
      <w:r w:rsidR="00905702" w:rsidRPr="5F0B2803">
        <w:rPr>
          <w:szCs w:val="22"/>
        </w:rPr>
        <w:t>1,539</w:t>
      </w:r>
      <w:r w:rsidR="00905702">
        <w:rPr>
          <w:szCs w:val="22"/>
        </w:rPr>
        <w:t xml:space="preserve"> students)</w:t>
      </w:r>
      <w:r w:rsidR="00BD7636">
        <w:rPr>
          <w:szCs w:val="22"/>
        </w:rPr>
        <w:t>.</w:t>
      </w:r>
      <w:r w:rsidR="00905702" w:rsidRPr="5F0B2803">
        <w:rPr>
          <w:szCs w:val="22"/>
        </w:rPr>
        <w:t xml:space="preserve"> </w:t>
      </w:r>
      <w:r w:rsidR="3A87252D" w:rsidRPr="2BB133B1">
        <w:rPr>
          <w:szCs w:val="22"/>
        </w:rPr>
        <w:t>The remain</w:t>
      </w:r>
      <w:r w:rsidR="00BD7636">
        <w:rPr>
          <w:szCs w:val="22"/>
        </w:rPr>
        <w:t>der</w:t>
      </w:r>
      <w:r w:rsidR="3A87252D" w:rsidRPr="2BB133B1">
        <w:rPr>
          <w:szCs w:val="22"/>
        </w:rPr>
        <w:t xml:space="preserve"> left school again</w:t>
      </w:r>
      <w:r w:rsidR="3A87252D" w:rsidRPr="2257FF2E">
        <w:rPr>
          <w:szCs w:val="22"/>
        </w:rPr>
        <w:t>.</w:t>
      </w:r>
    </w:p>
    <w:p w14:paraId="1E982697" w14:textId="4469EAF3" w:rsidR="718D82DD" w:rsidRDefault="004E1CC4" w:rsidP="718D82DD">
      <w:pPr>
        <w:pStyle w:val="ListParagraph"/>
        <w:numPr>
          <w:ilvl w:val="1"/>
          <w:numId w:val="13"/>
        </w:numPr>
        <w:spacing w:line="259" w:lineRule="auto"/>
      </w:pPr>
      <w:r>
        <w:t>16.6</w:t>
      </w:r>
      <w:r w:rsidR="4921DC58">
        <w:t>% graduated or completed in 22-23</w:t>
      </w:r>
    </w:p>
    <w:p w14:paraId="67258743" w14:textId="223192AF" w:rsidR="4921DC58" w:rsidRDefault="00F55A02" w:rsidP="32EC4958">
      <w:pPr>
        <w:pStyle w:val="ListParagraph"/>
        <w:numPr>
          <w:ilvl w:val="1"/>
          <w:numId w:val="13"/>
        </w:numPr>
        <w:spacing w:line="259" w:lineRule="auto"/>
        <w:rPr>
          <w:szCs w:val="22"/>
        </w:rPr>
      </w:pPr>
      <w:r>
        <w:t>46.0</w:t>
      </w:r>
      <w:r w:rsidR="4921DC58">
        <w:t>% were still enrolled at the end of 22-23</w:t>
      </w:r>
    </w:p>
    <w:p w14:paraId="52DB6BA4" w14:textId="0CF1B84D" w:rsidR="3C5557EC" w:rsidRDefault="00C7295A" w:rsidP="00545135">
      <w:pPr>
        <w:spacing w:before="240" w:line="259" w:lineRule="auto"/>
      </w:pPr>
      <w:r>
        <w:rPr>
          <w:noProof/>
        </w:rPr>
        <w:drawing>
          <wp:inline distT="0" distB="0" distL="0" distR="0" wp14:anchorId="303824CF" wp14:editId="03166EE3">
            <wp:extent cx="6444615" cy="2011680"/>
            <wp:effectExtent l="0" t="0" r="13335" b="7620"/>
            <wp:docPr id="1262521196" name="Chart 1" descr="Line graph showing decrease in re-enrollment trends from 2018-19 school year at 29.4% to the 2022-2023 school year a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ABB2D9" w14:textId="04527EAE" w:rsidR="682D6886" w:rsidRDefault="34761F41" w:rsidP="682D6886">
      <w:pPr>
        <w:pStyle w:val="Heading2"/>
      </w:pPr>
      <w:r>
        <w:lastRenderedPageBreak/>
        <w:t>Concentrations of Dropouts</w:t>
      </w:r>
    </w:p>
    <w:p w14:paraId="5E05C2DB" w14:textId="24999639" w:rsidR="2D25EA23" w:rsidRDefault="5D3C79BB" w:rsidP="2D25EA23">
      <w:r>
        <w:t xml:space="preserve">While student engagement may be a challenge facing </w:t>
      </w:r>
      <w:proofErr w:type="gramStart"/>
      <w:r>
        <w:t>a number of</w:t>
      </w:r>
      <w:proofErr w:type="gramEnd"/>
      <w:r>
        <w:t xml:space="preserve"> districts across the state, the </w:t>
      </w:r>
      <w:r w:rsidR="2B0E1CCB">
        <w:t xml:space="preserve">majority of </w:t>
      </w:r>
      <w:r>
        <w:t xml:space="preserve">dropouts are </w:t>
      </w:r>
      <w:r w:rsidR="0E13AAE7">
        <w:t xml:space="preserve">often </w:t>
      </w:r>
      <w:r>
        <w:t>concentrated</w:t>
      </w:r>
      <w:r w:rsidR="1E59E27B">
        <w:t xml:space="preserve"> i</w:t>
      </w:r>
      <w:r w:rsidR="67DC5A81">
        <w:t xml:space="preserve">n a smaller </w:t>
      </w:r>
      <w:r w:rsidR="795F754D">
        <w:t>subset of regions, districts, or grade levels</w:t>
      </w:r>
      <w:r w:rsidR="35F2E3AC">
        <w:t>.</w:t>
      </w:r>
    </w:p>
    <w:p w14:paraId="1C9594C0" w14:textId="77D8B6D2" w:rsidR="2D25EA23" w:rsidRDefault="5D3C79BB" w:rsidP="2D247EC5">
      <w:pPr>
        <w:pStyle w:val="ListParagraph"/>
        <w:numPr>
          <w:ilvl w:val="0"/>
          <w:numId w:val="12"/>
        </w:numPr>
        <w:rPr>
          <w:szCs w:val="22"/>
        </w:rPr>
      </w:pPr>
      <w:r>
        <w:t xml:space="preserve">Districts </w:t>
      </w:r>
      <w:r w:rsidR="2820B444">
        <w:t xml:space="preserve">below 1,200 students have substantially lower dropout rates and given the smaller enrollment numbers, this </w:t>
      </w:r>
      <w:r w:rsidR="4236EC30">
        <w:t>is also</w:t>
      </w:r>
      <w:r w:rsidR="2820B444">
        <w:t xml:space="preserve"> </w:t>
      </w:r>
      <w:r w:rsidR="4B441D5B">
        <w:t xml:space="preserve">a </w:t>
      </w:r>
      <w:r w:rsidR="2820B444">
        <w:t>small number of students.</w:t>
      </w:r>
      <w:r w:rsidR="783261D5">
        <w:t xml:space="preserve">  </w:t>
      </w:r>
    </w:p>
    <w:p w14:paraId="3298B292" w14:textId="3365E4D6" w:rsidR="783261D5" w:rsidRDefault="62BA6F10" w:rsidP="126F3CE2">
      <w:pPr>
        <w:pStyle w:val="ListParagraph"/>
        <w:numPr>
          <w:ilvl w:val="0"/>
          <w:numId w:val="12"/>
        </w:numPr>
      </w:pPr>
      <w:r>
        <w:t xml:space="preserve">About 80% of the state’s dropouts last attended one of 20 districts (about 10% of the state’s districts) </w:t>
      </w:r>
    </w:p>
    <w:p w14:paraId="5D5B1DE0" w14:textId="428BEB66" w:rsidR="3596975C" w:rsidRDefault="3596975C" w:rsidP="126F3CE2">
      <w:pPr>
        <w:pStyle w:val="ListParagraph"/>
        <w:numPr>
          <w:ilvl w:val="0"/>
          <w:numId w:val="12"/>
        </w:numPr>
      </w:pPr>
      <w:r>
        <w:t xml:space="preserve">Twelfth grade students have the highest dropout rate </w:t>
      </w:r>
      <w:r w:rsidR="22B2575A">
        <w:t xml:space="preserve">and numbers </w:t>
      </w:r>
      <w:r>
        <w:t>of any grade level.</w:t>
      </w:r>
    </w:p>
    <w:p w14:paraId="199FBAA3" w14:textId="37B5B4AE" w:rsidR="01AC9AE5" w:rsidRDefault="00122D8A" w:rsidP="008A7B37">
      <w:pPr>
        <w:spacing w:before="240" w:after="240"/>
      </w:pPr>
      <w:r w:rsidRPr="00122D8A">
        <w:rPr>
          <w:noProof/>
        </w:rPr>
        <w:drawing>
          <wp:inline distT="0" distB="0" distL="0" distR="0" wp14:anchorId="50E13C98" wp14:editId="6EFAE1FC">
            <wp:extent cx="6400800" cy="2743200"/>
            <wp:effectExtent l="0" t="0" r="0" b="0"/>
            <wp:docPr id="1574186540" name="Chart 1" descr="Side by Side bar graph comparing the dropout rates in 2021-22 to 2022-23 by grade level. See the dropout statistics website for specific values.">
              <a:extLst xmlns:a="http://schemas.openxmlformats.org/drawingml/2006/main">
                <a:ext uri="{FF2B5EF4-FFF2-40B4-BE49-F238E27FC236}">
                  <a16:creationId xmlns:a16="http://schemas.microsoft.com/office/drawing/2014/main" id="{DDC3EAE4-D68D-1BF8-953B-C80F74C51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AC390C" w14:textId="641E7405" w:rsidR="006B22FE" w:rsidRDefault="006B22FE" w:rsidP="00545135">
      <w:pPr>
        <w:pStyle w:val="Heading2"/>
        <w:spacing w:before="0"/>
      </w:pPr>
      <w:r>
        <w:t>Resources</w:t>
      </w:r>
    </w:p>
    <w:p w14:paraId="4F0AC32A" w14:textId="140C5217" w:rsidR="00A65B93" w:rsidRDefault="008D0EF6" w:rsidP="00A65B93">
      <w:pPr>
        <w:pStyle w:val="ListParagraph"/>
        <w:numPr>
          <w:ilvl w:val="0"/>
          <w:numId w:val="9"/>
        </w:numPr>
        <w:spacing w:after="160" w:line="259" w:lineRule="auto"/>
        <w:rPr>
          <w:rFonts w:eastAsia="Calibri" w:cs="Calibri"/>
          <w:color w:val="000000"/>
        </w:rPr>
      </w:pPr>
      <w:hyperlink r:id="rId15">
        <w:r w:rsidR="00A65B93" w:rsidRPr="2C5540C9">
          <w:rPr>
            <w:rStyle w:val="Hyperlink"/>
            <w:rFonts w:eastAsia="Calibri" w:cs="Calibri"/>
          </w:rPr>
          <w:t>CDE’s office of Dropout Prevention and Student Re-engagement</w:t>
        </w:r>
      </w:hyperlink>
      <w:r w:rsidR="00A65B93" w:rsidRPr="2C5540C9">
        <w:rPr>
          <w:rFonts w:eastAsia="Calibri" w:cs="Calibri"/>
          <w:color w:val="000000" w:themeColor="text1"/>
        </w:rPr>
        <w:t xml:space="preserve"> has compiled resources on evidence-based practices to improve </w:t>
      </w:r>
      <w:r w:rsidR="03D9E9DE" w:rsidRPr="2C5540C9">
        <w:rPr>
          <w:rFonts w:eastAsia="Calibri" w:cs="Calibri"/>
          <w:color w:val="000000" w:themeColor="text1"/>
        </w:rPr>
        <w:t>student engagement</w:t>
      </w:r>
      <w:r w:rsidR="00A65B93" w:rsidRPr="2C5540C9">
        <w:rPr>
          <w:rFonts w:eastAsia="Calibri" w:cs="Calibri"/>
          <w:color w:val="000000" w:themeColor="text1"/>
        </w:rPr>
        <w:t>.</w:t>
      </w:r>
    </w:p>
    <w:p w14:paraId="2CC46024" w14:textId="794032A9" w:rsidR="308B873E" w:rsidRDefault="008D0EF6" w:rsidP="2C5540C9">
      <w:pPr>
        <w:pStyle w:val="ListParagraph"/>
        <w:numPr>
          <w:ilvl w:val="1"/>
          <w:numId w:val="9"/>
        </w:numPr>
        <w:spacing w:after="160" w:line="259" w:lineRule="auto"/>
        <w:rPr>
          <w:rFonts w:asciiTheme="minorHAnsi" w:eastAsiaTheme="minorEastAsia" w:hAnsiTheme="minorHAnsi" w:cstheme="minorBidi"/>
        </w:rPr>
      </w:pPr>
      <w:hyperlink r:id="rId16">
        <w:r w:rsidR="308B873E" w:rsidRPr="2C5540C9">
          <w:rPr>
            <w:rStyle w:val="Hyperlink"/>
            <w:rFonts w:asciiTheme="minorHAnsi" w:eastAsiaTheme="minorEastAsia" w:hAnsiTheme="minorHAnsi" w:cstheme="minorBidi"/>
            <w:szCs w:val="22"/>
            <w:lang w:val="en"/>
          </w:rPr>
          <w:t>Dropout Prevention Framework:</w:t>
        </w:r>
      </w:hyperlink>
      <w:r w:rsidR="308B873E" w:rsidRPr="2C5540C9">
        <w:rPr>
          <w:rFonts w:asciiTheme="minorHAnsi" w:eastAsiaTheme="minorEastAsia" w:hAnsiTheme="minorHAnsi" w:cstheme="minorBidi"/>
          <w:color w:val="000000" w:themeColor="text1"/>
          <w:szCs w:val="22"/>
          <w:lang w:val="en"/>
        </w:rPr>
        <w:t xml:space="preserve"> CDE has revised the Dropout Prevention Framework to provide a framework for prevention efforts to engage students in learning and provide strategies for response when students start to disengage.</w:t>
      </w:r>
    </w:p>
    <w:p w14:paraId="16C438CF" w14:textId="086F878C" w:rsidR="002B7237" w:rsidRPr="002B7237" w:rsidRDefault="008D0EF6" w:rsidP="00A44349">
      <w:pPr>
        <w:pStyle w:val="ListParagraph"/>
        <w:numPr>
          <w:ilvl w:val="0"/>
          <w:numId w:val="9"/>
        </w:numPr>
        <w:spacing w:after="160" w:line="259" w:lineRule="auto"/>
      </w:pPr>
      <w:hyperlink r:id="rId17" w:history="1">
        <w:r w:rsidR="00A44349" w:rsidRPr="00A65B93">
          <w:rPr>
            <w:rStyle w:val="Hyperlink"/>
            <w:rFonts w:eastAsia="Calibri" w:cs="Calibri"/>
          </w:rPr>
          <w:t>CDE’s Data Services team</w:t>
        </w:r>
      </w:hyperlink>
      <w:r w:rsidR="00A44349" w:rsidRPr="00A65B93">
        <w:rPr>
          <w:rFonts w:eastAsia="Calibri" w:cs="Calibri"/>
          <w:color w:val="000000"/>
        </w:rPr>
        <w:t xml:space="preserve"> collects and publishes </w:t>
      </w:r>
      <w:r w:rsidR="00A44349">
        <w:rPr>
          <w:rFonts w:eastAsia="Calibri" w:cs="Calibri"/>
          <w:color w:val="000000"/>
        </w:rPr>
        <w:t>annual graduation/completion data</w:t>
      </w:r>
      <w:r w:rsidR="00A44349" w:rsidRPr="00A65B93">
        <w:rPr>
          <w:rFonts w:eastAsia="Calibri" w:cs="Calibri"/>
          <w:color w:val="000000"/>
        </w:rPr>
        <w:t>.</w:t>
      </w:r>
    </w:p>
    <w:sectPr w:rsidR="002B7237" w:rsidRPr="002B7237" w:rsidSect="00F36C78">
      <w:headerReference w:type="default" r:id="rId18"/>
      <w:footerReference w:type="default" r:id="rId19"/>
      <w:headerReference w:type="first" r:id="rId20"/>
      <w:footerReference w:type="first" r:id="rId21"/>
      <w:pgSz w:w="12240" w:h="15840"/>
      <w:pgMar w:top="72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C596" w14:textId="77777777" w:rsidR="00F84DEB" w:rsidRDefault="00F84DEB" w:rsidP="00764158">
      <w:r>
        <w:separator/>
      </w:r>
    </w:p>
  </w:endnote>
  <w:endnote w:type="continuationSeparator" w:id="0">
    <w:p w14:paraId="6A611260" w14:textId="77777777" w:rsidR="00F84DEB" w:rsidRDefault="00F84DEB" w:rsidP="00764158">
      <w:r>
        <w:continuationSeparator/>
      </w:r>
    </w:p>
  </w:endnote>
  <w:endnote w:type="continuationNotice" w:id="1">
    <w:p w14:paraId="1EA3FE93" w14:textId="77777777" w:rsidR="00F84DEB" w:rsidRDefault="00F8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B260" w14:textId="1CB5D859" w:rsidR="008B64D8" w:rsidRPr="00E741AE" w:rsidRDefault="008B64D8" w:rsidP="008B64D8">
    <w:pPr>
      <w:pStyle w:val="BasicParagraph"/>
      <w:rPr>
        <w:rFonts w:ascii="Museo Slab 500" w:hAnsi="Museo Slab 500" w:cs="Calibri"/>
        <w:color w:val="5D6770"/>
      </w:rPr>
    </w:pPr>
    <w:r w:rsidRPr="00E741AE">
      <w:rPr>
        <w:rFonts w:ascii="Museo Slab 500" w:hAnsi="Museo Slab 500" w:cs="PalatinoLinotype-Bold"/>
        <w:bCs/>
        <w:color w:val="5D6770"/>
      </w:rPr>
      <w:t>Colorado Department of Education</w:t>
    </w:r>
    <w:r w:rsidRPr="00E741AE">
      <w:rPr>
        <w:color w:val="5D6770"/>
        <w:sz w:val="18"/>
        <w:szCs w:val="18"/>
      </w:rPr>
      <w:t xml:space="preserve"> </w:t>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00F2315D">
      <w:rPr>
        <w:rFonts w:ascii="Trebuchet MS" w:hAnsi="Trebuchet MS"/>
        <w:color w:val="5D6770"/>
        <w:sz w:val="18"/>
        <w:szCs w:val="18"/>
      </w:rPr>
      <w:t>JANUARY 2024</w:t>
    </w:r>
  </w:p>
  <w:p w14:paraId="058B460F" w14:textId="055D41F3" w:rsidR="00320356" w:rsidRPr="008B64D8" w:rsidRDefault="008B64D8" w:rsidP="008B64D8">
    <w:pPr>
      <w:pStyle w:val="Footer"/>
      <w:rPr>
        <w:color w:val="5D6770"/>
      </w:rPr>
    </w:pPr>
    <w:r w:rsidRPr="00E741AE">
      <w:rPr>
        <w:rFonts w:cs="Calibri"/>
        <w:color w:val="5D6770"/>
        <w:sz w:val="18"/>
        <w:szCs w:val="18"/>
      </w:rPr>
      <w:t>201 E. Colfax Ave., Denver, CO 80203</w:t>
    </w:r>
    <w:r w:rsidRPr="00E741AE">
      <w:rPr>
        <w:rFonts w:cs="Calibri"/>
        <w:color w:val="5D6770"/>
        <w:sz w:val="18"/>
        <w:szCs w:val="18"/>
      </w:rPr>
      <w:tab/>
    </w:r>
    <w:r w:rsidRPr="00E741AE">
      <w:rPr>
        <w:rFonts w:cs="Calibri"/>
        <w:color w:val="5D677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F4F" w14:textId="7953B5CA" w:rsidR="005E3BA8" w:rsidRPr="008B64D8" w:rsidRDefault="00F2315D" w:rsidP="00320356">
    <w:pPr>
      <w:pStyle w:val="Footer"/>
      <w:jc w:val="right"/>
      <w:rPr>
        <w:sz w:val="18"/>
        <w:szCs w:val="18"/>
      </w:rPr>
    </w:pPr>
    <w:r>
      <w:rPr>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C8EA" w14:textId="77777777" w:rsidR="00F84DEB" w:rsidRDefault="00F84DEB" w:rsidP="00764158">
      <w:r>
        <w:separator/>
      </w:r>
    </w:p>
  </w:footnote>
  <w:footnote w:type="continuationSeparator" w:id="0">
    <w:p w14:paraId="3AF83B77" w14:textId="77777777" w:rsidR="00F84DEB" w:rsidRDefault="00F84DEB" w:rsidP="00764158">
      <w:r>
        <w:continuationSeparator/>
      </w:r>
    </w:p>
  </w:footnote>
  <w:footnote w:type="continuationNotice" w:id="1">
    <w:p w14:paraId="17F5121A" w14:textId="77777777" w:rsidR="00F84DEB" w:rsidRDefault="00F84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681" w14:textId="461C7C9E" w:rsidR="00B83063" w:rsidRDefault="007A6945" w:rsidP="009E40B4">
    <w:pPr>
      <w:pStyle w:val="Header"/>
      <w:tabs>
        <w:tab w:val="clear" w:pos="4320"/>
        <w:tab w:val="clear" w:pos="8640"/>
        <w:tab w:val="left" w:pos="6660"/>
      </w:tabs>
    </w:pPr>
    <w:r>
      <w:rPr>
        <w:noProof/>
      </w:rPr>
      <w:drawing>
        <wp:inline distT="0" distB="0" distL="0" distR="0" wp14:anchorId="4E400898" wp14:editId="5F4B015D">
          <wp:extent cx="1085850" cy="4572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sidR="009E40B4">
      <w:rPr>
        <w:rFonts w:ascii="Trebuchet MS" w:hAnsi="Trebuchet MS"/>
        <w:b/>
        <w:bCs/>
        <w:color w:val="5D6770"/>
        <w:sz w:val="18"/>
        <w:szCs w:val="18"/>
      </w:rPr>
      <w:tab/>
      <w:t>2022-23 Dropout Release Summary</w:t>
    </w:r>
    <w:r w:rsidR="00680A43" w:rsidRPr="009E40B4">
      <w:rPr>
        <w:rFonts w:ascii="Trebuchet MS" w:hAnsi="Trebuchet MS"/>
        <w:b/>
        <w:bCs/>
        <w:color w:val="919BA5"/>
        <w:sz w:val="18"/>
        <w:szCs w:val="18"/>
      </w:rPr>
      <w:t xml:space="preserve">     </w:t>
    </w:r>
    <w:r w:rsidR="00D31D03" w:rsidRPr="009E40B4">
      <w:rPr>
        <w:rFonts w:ascii="Trebuchet MS" w:hAnsi="Trebuchet MS"/>
        <w:b/>
        <w:color w:val="5D6770"/>
        <w:szCs w:val="20"/>
      </w:rPr>
      <w:fldChar w:fldCharType="begin"/>
    </w:r>
    <w:r w:rsidR="00D31D03" w:rsidRPr="009E40B4">
      <w:rPr>
        <w:rFonts w:ascii="Trebuchet MS" w:hAnsi="Trebuchet MS"/>
        <w:b/>
        <w:color w:val="5D6770"/>
        <w:szCs w:val="20"/>
      </w:rPr>
      <w:instrText xml:space="preserve"> PAGE   \* MERGEFORMAT </w:instrText>
    </w:r>
    <w:r w:rsidR="00D31D03" w:rsidRPr="009E40B4">
      <w:rPr>
        <w:rFonts w:ascii="Trebuchet MS" w:hAnsi="Trebuchet MS"/>
        <w:b/>
        <w:color w:val="5D6770"/>
        <w:szCs w:val="20"/>
      </w:rPr>
      <w:fldChar w:fldCharType="separate"/>
    </w:r>
    <w:r w:rsidR="00680A43" w:rsidRPr="009E40B4">
      <w:rPr>
        <w:rFonts w:ascii="Trebuchet MS" w:hAnsi="Trebuchet MS"/>
        <w:b/>
        <w:noProof/>
        <w:color w:val="5D6770"/>
        <w:szCs w:val="20"/>
      </w:rPr>
      <w:t>2</w:t>
    </w:r>
    <w:r w:rsidR="00D31D03" w:rsidRPr="009E40B4">
      <w:rPr>
        <w:rFonts w:ascii="Trebuchet MS" w:hAnsi="Trebuchet MS"/>
        <w:b/>
        <w:color w:val="5D6770"/>
        <w:szCs w:val="20"/>
      </w:rPr>
      <w:fldChar w:fldCharType="end"/>
    </w:r>
  </w:p>
  <w:p w14:paraId="2F3DFFD1" w14:textId="77777777" w:rsidR="00B83063" w:rsidRDefault="008D0EF6" w:rsidP="00B83063">
    <w:pPr>
      <w:pStyle w:val="Header"/>
      <w:tabs>
        <w:tab w:val="clear" w:pos="4320"/>
        <w:tab w:val="clear" w:pos="8640"/>
        <w:tab w:val="left" w:pos="4373"/>
      </w:tabs>
    </w:pPr>
    <w:r>
      <w:pict w14:anchorId="09968B3C">
        <v:rect id="_x0000_i1025" style="width:540pt;height:1pt" o:hralign="center" o:hrstd="t" o:hr="t" fillcolor="#aaa"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1C86" w14:textId="52E3B450" w:rsidR="00C12323" w:rsidRDefault="00FA6CFC" w:rsidP="00630F54">
    <w:pPr>
      <w:pStyle w:val="Header"/>
      <w:tabs>
        <w:tab w:val="clear" w:pos="8640"/>
        <w:tab w:val="left" w:pos="8492"/>
      </w:tabs>
    </w:pPr>
    <w:r w:rsidRPr="0005455B">
      <w:rPr>
        <w:rFonts w:ascii="Museo Slab 500" w:hAnsi="Museo Slab 500"/>
        <w:noProof/>
        <w:sz w:val="36"/>
        <w:szCs w:val="36"/>
      </w:rPr>
      <w:drawing>
        <wp:inline distT="0" distB="0" distL="0" distR="0" wp14:anchorId="15AC2BE7" wp14:editId="5E6416CD">
          <wp:extent cx="2847975" cy="476250"/>
          <wp:effectExtent l="0" t="0" r="0" b="0"/>
          <wp:docPr id="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r w:rsidR="004267A4">
      <w:rPr>
        <w:noProof/>
      </w:rPr>
      <mc:AlternateContent>
        <mc:Choice Requires="wps">
          <w:drawing>
            <wp:anchor distT="0" distB="0" distL="114300" distR="114300" simplePos="0" relativeHeight="251658240" behindDoc="1" locked="1" layoutInCell="1" allowOverlap="1" wp14:anchorId="0B213CD5" wp14:editId="6554146E">
              <wp:simplePos x="0" y="0"/>
              <wp:positionH relativeFrom="column">
                <wp:posOffset>4565650</wp:posOffset>
              </wp:positionH>
              <wp:positionV relativeFrom="page">
                <wp:posOffset>-11430</wp:posOffset>
              </wp:positionV>
              <wp:extent cx="2514600" cy="10058400"/>
              <wp:effectExtent l="38100" t="19050" r="38100" b="571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0058400"/>
                      </a:xfrm>
                      <a:prstGeom prst="rect">
                        <a:avLst/>
                      </a:prstGeom>
                      <a:solidFill>
                        <a:srgbClr val="FFC846"/>
                      </a:solidFill>
                      <a:ln w="10000" cap="flat" cmpd="sng" algn="ctr">
                        <a:noFill/>
                        <a:prstDash val="solid"/>
                      </a:ln>
                      <a:effectLst>
                        <a:outerShdw blurRad="31750" dist="25400" dir="5400000" rotWithShape="0">
                          <a:srgbClr val="000000">
                            <a:alpha val="50000"/>
                          </a:srgbClr>
                        </a:outerShdw>
                      </a:effectLst>
                      <a:extLst>
                        <a:ext uri="{FAA26D3D-D897-4be2-8F04-BA451C77F1D7}"/>
                        <a:ext uri="{C572A759-6A51-4108-AA02-DFA0A04FC94B}"/>
                      </a:extLst>
                    </wps:spPr>
                    <wps:txbx>
                      <w:txbxContent>
                        <w:p w14:paraId="0AE33119" w14:textId="77777777" w:rsidR="00630F54" w:rsidRDefault="00630F54" w:rsidP="00630F54">
                          <w:pPr>
                            <w:pStyle w:val="Heading2"/>
                            <w:spacing w:after="240"/>
                          </w:pPr>
                          <w:r>
                            <w:t>Dropout Definitions:</w:t>
                          </w:r>
                        </w:p>
                        <w:p w14:paraId="48DF4D1F" w14:textId="77777777" w:rsidR="00630F54" w:rsidRDefault="00630F54" w:rsidP="00630F54">
                          <w:r>
                            <w:t xml:space="preserve">Dropout – A student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are also counted as dropouts. </w:t>
                          </w:r>
                        </w:p>
                        <w:p w14:paraId="399E6B37" w14:textId="77777777" w:rsidR="00630F54" w:rsidRDefault="00630F54" w:rsidP="00630F54"/>
                        <w:p w14:paraId="0D83E55D" w14:textId="77777777" w:rsidR="00630F54" w:rsidRDefault="00630F54" w:rsidP="00630F54">
                          <w:r>
                            <w:t>Membership Base – All 7</w:t>
                          </w:r>
                          <w:r w:rsidRPr="00995932">
                            <w:rPr>
                              <w:vertAlign w:val="superscript"/>
                            </w:rPr>
                            <w:t>th</w:t>
                          </w:r>
                          <w:r>
                            <w:t>-12</w:t>
                          </w:r>
                          <w:r w:rsidRPr="00995932">
                            <w:rPr>
                              <w:vertAlign w:val="superscript"/>
                            </w:rPr>
                            <w:t>th</w:t>
                          </w:r>
                          <w:r>
                            <w:t xml:space="preserve"> grade students who were in membership at any point during the school year.</w:t>
                          </w:r>
                        </w:p>
                        <w:p w14:paraId="1802E619" w14:textId="77777777" w:rsidR="00630F54" w:rsidRDefault="00630F54" w:rsidP="00630F54"/>
                        <w:p w14:paraId="4242013B" w14:textId="4D2A9C65" w:rsidR="00630F54" w:rsidRDefault="00630F54" w:rsidP="00630F54">
                          <w:r>
                            <w:t xml:space="preserve">Dropout Rate – </w:t>
                          </w:r>
                          <w:r w:rsidR="001D4EDA">
                            <w:t xml:space="preserve">The percentage of students who dropped out during the school year within the membership base calculated by dividing the </w:t>
                          </w:r>
                          <w:r w:rsidR="00CA3538">
                            <w:t xml:space="preserve">number of dropouts divided by the </w:t>
                          </w:r>
                          <w:r w:rsidR="00213C16">
                            <w:t xml:space="preserve">number of students in the </w:t>
                          </w:r>
                          <w:r w:rsidR="00CA3538">
                            <w:t xml:space="preserve">membership </w:t>
                          </w:r>
                          <w:r w:rsidR="001D4EDA">
                            <w:t>base.</w:t>
                          </w:r>
                        </w:p>
                        <w:p w14:paraId="79361E74" w14:textId="77777777" w:rsidR="00630F54" w:rsidRDefault="00630F54" w:rsidP="00630F54"/>
                        <w:p w14:paraId="2C3B492B" w14:textId="77777777" w:rsidR="00630F54" w:rsidRDefault="00630F54" w:rsidP="00630F54">
                          <w:r>
                            <w:t>Subgroup Dropout Rates – Dropout rate calculated for a specific group of students categorized by their gender, race/ethnicity, or instructional program service type (IPST)</w:t>
                          </w:r>
                        </w:p>
                        <w:p w14:paraId="7972C85D" w14:textId="77777777" w:rsidR="00630F54" w:rsidRDefault="00630F54" w:rsidP="00630F54">
                          <w:pPr>
                            <w:pStyle w:val="ListParagraph"/>
                            <w:numPr>
                              <w:ilvl w:val="0"/>
                              <w:numId w:val="6"/>
                            </w:numPr>
                            <w:ind w:left="360" w:hanging="180"/>
                          </w:pPr>
                          <w:r>
                            <w:t>Gender</w:t>
                          </w:r>
                        </w:p>
                        <w:p w14:paraId="437D9E82" w14:textId="77777777" w:rsidR="00630F54" w:rsidRDefault="00630F54" w:rsidP="00630F54">
                          <w:pPr>
                            <w:pStyle w:val="ListParagraph"/>
                            <w:numPr>
                              <w:ilvl w:val="0"/>
                              <w:numId w:val="6"/>
                            </w:numPr>
                            <w:ind w:left="360" w:hanging="180"/>
                          </w:pPr>
                          <w:r>
                            <w:t>Race/Ethnicity</w:t>
                          </w:r>
                        </w:p>
                        <w:p w14:paraId="4536AB7B" w14:textId="77777777" w:rsidR="00630F54" w:rsidRDefault="00630F54" w:rsidP="00630F54">
                          <w:pPr>
                            <w:pStyle w:val="ListParagraph"/>
                            <w:numPr>
                              <w:ilvl w:val="0"/>
                              <w:numId w:val="6"/>
                            </w:numPr>
                            <w:ind w:left="360" w:hanging="180"/>
                          </w:pPr>
                          <w:r>
                            <w:t>IPST</w:t>
                          </w:r>
                        </w:p>
                        <w:p w14:paraId="5D5D67BF" w14:textId="77777777" w:rsidR="00630F54" w:rsidRDefault="00630F54" w:rsidP="00630F54">
                          <w:pPr>
                            <w:pStyle w:val="ListParagraph"/>
                            <w:numPr>
                              <w:ilvl w:val="1"/>
                              <w:numId w:val="6"/>
                            </w:numPr>
                            <w:ind w:left="540" w:hanging="180"/>
                          </w:pPr>
                          <w:r>
                            <w:t>Students with Disabilities</w:t>
                          </w:r>
                        </w:p>
                        <w:p w14:paraId="6361F0F6" w14:textId="77777777" w:rsidR="00630F54" w:rsidRDefault="00630F54" w:rsidP="00630F54">
                          <w:pPr>
                            <w:pStyle w:val="ListParagraph"/>
                            <w:numPr>
                              <w:ilvl w:val="1"/>
                              <w:numId w:val="6"/>
                            </w:numPr>
                            <w:ind w:left="540" w:hanging="180"/>
                          </w:pPr>
                          <w:r>
                            <w:t>English Learners</w:t>
                          </w:r>
                        </w:p>
                        <w:p w14:paraId="3F6600C2" w14:textId="77777777" w:rsidR="00630F54" w:rsidRDefault="00630F54" w:rsidP="00630F54">
                          <w:pPr>
                            <w:pStyle w:val="ListParagraph"/>
                            <w:numPr>
                              <w:ilvl w:val="1"/>
                              <w:numId w:val="6"/>
                            </w:numPr>
                            <w:ind w:left="540" w:hanging="180"/>
                          </w:pPr>
                          <w:r>
                            <w:t>Economically Disadvantaged</w:t>
                          </w:r>
                        </w:p>
                        <w:p w14:paraId="4737E1D3" w14:textId="77777777" w:rsidR="00630F54" w:rsidRDefault="00630F54" w:rsidP="00630F54">
                          <w:pPr>
                            <w:pStyle w:val="ListParagraph"/>
                            <w:numPr>
                              <w:ilvl w:val="1"/>
                              <w:numId w:val="6"/>
                            </w:numPr>
                            <w:ind w:left="540" w:hanging="180"/>
                          </w:pPr>
                          <w:r>
                            <w:t>Migrant</w:t>
                          </w:r>
                        </w:p>
                        <w:p w14:paraId="45DF4334" w14:textId="77777777" w:rsidR="00630F54" w:rsidRDefault="00630F54" w:rsidP="00630F54">
                          <w:pPr>
                            <w:pStyle w:val="ListParagraph"/>
                            <w:numPr>
                              <w:ilvl w:val="1"/>
                              <w:numId w:val="6"/>
                            </w:numPr>
                            <w:ind w:left="540" w:hanging="180"/>
                          </w:pPr>
                          <w:r>
                            <w:t>Title 1</w:t>
                          </w:r>
                        </w:p>
                        <w:p w14:paraId="2121FCC8" w14:textId="77777777" w:rsidR="00630F54" w:rsidRDefault="00630F54" w:rsidP="00630F54">
                          <w:pPr>
                            <w:pStyle w:val="ListParagraph"/>
                            <w:numPr>
                              <w:ilvl w:val="1"/>
                              <w:numId w:val="6"/>
                            </w:numPr>
                            <w:ind w:left="540" w:hanging="180"/>
                          </w:pPr>
                          <w:r>
                            <w:t>Homeless</w:t>
                          </w:r>
                        </w:p>
                        <w:p w14:paraId="2FEB44CC" w14:textId="77777777" w:rsidR="00630F54" w:rsidRDefault="00630F54" w:rsidP="00630F54">
                          <w:pPr>
                            <w:pStyle w:val="ListParagraph"/>
                            <w:numPr>
                              <w:ilvl w:val="1"/>
                              <w:numId w:val="6"/>
                            </w:numPr>
                            <w:ind w:left="540" w:hanging="180"/>
                          </w:pPr>
                          <w:r>
                            <w:t>Gifted and Talented</w:t>
                          </w:r>
                        </w:p>
                        <w:p w14:paraId="6FBB0C2A" w14:textId="77777777" w:rsidR="00630F54" w:rsidRDefault="00630F54" w:rsidP="00630F54">
                          <w:pPr>
                            <w:pStyle w:val="ListParagraph"/>
                            <w:numPr>
                              <w:ilvl w:val="1"/>
                              <w:numId w:val="6"/>
                            </w:numPr>
                            <w:ind w:left="540" w:hanging="180"/>
                          </w:pPr>
                          <w:r>
                            <w:t>Military Connected</w:t>
                          </w:r>
                        </w:p>
                        <w:p w14:paraId="75CEA117" w14:textId="77777777" w:rsidR="00630F54" w:rsidRDefault="00630F54" w:rsidP="00630F54">
                          <w:pPr>
                            <w:pStyle w:val="ListParagraph"/>
                            <w:numPr>
                              <w:ilvl w:val="1"/>
                              <w:numId w:val="6"/>
                            </w:numPr>
                            <w:ind w:left="540" w:hanging="180"/>
                          </w:pPr>
                          <w:r>
                            <w:t>Foster</w:t>
                          </w:r>
                        </w:p>
                        <w:p w14:paraId="1306D6AF" w14:textId="77777777" w:rsidR="00630F54" w:rsidRDefault="00630F54" w:rsidP="00630F54"/>
                        <w:p w14:paraId="0866BDA3" w14:textId="39872D5D" w:rsidR="00630F54" w:rsidRDefault="008D0EF6" w:rsidP="00630F54">
                          <w:pPr>
                            <w:jc w:val="center"/>
                          </w:pPr>
                          <w:hyperlink r:id="rId2" w:history="1">
                            <w:r w:rsidR="00630F54" w:rsidRPr="00D91F59">
                              <w:rPr>
                                <w:rStyle w:val="Hyperlink"/>
                              </w:rPr>
                              <w:t>Dropout Prevention and Student Reengagement Website</w:t>
                            </w:r>
                          </w:hyperlink>
                        </w:p>
                        <w:p w14:paraId="38D92061" w14:textId="77777777" w:rsidR="00406BDE" w:rsidRDefault="00406BDE" w:rsidP="00630F54">
                          <w:pPr>
                            <w:jc w:val="center"/>
                          </w:pPr>
                        </w:p>
                        <w:p w14:paraId="6885C352" w14:textId="19173F5C" w:rsidR="00630F54" w:rsidRPr="00BE17AC" w:rsidRDefault="008D0EF6" w:rsidP="00630F54">
                          <w:pPr>
                            <w:jc w:val="center"/>
                          </w:pPr>
                          <w:hyperlink r:id="rId3" w:history="1">
                            <w:r w:rsidR="00630F54" w:rsidRPr="00D91F59">
                              <w:rPr>
                                <w:rStyle w:val="Hyperlink"/>
                              </w:rPr>
                              <w:t>Dropout Statistics Website</w:t>
                            </w:r>
                          </w:hyperlink>
                        </w:p>
                        <w:p w14:paraId="3F49A518" w14:textId="77777777" w:rsidR="004267A4" w:rsidRDefault="004267A4" w:rsidP="004267A4"/>
                      </w:txbxContent>
                    </wps:txbx>
                    <wps:bodyPr rot="0" spcFirstLastPara="0" vertOverflow="overflow" horzOverflow="overflow" vert="horz" wrap="square" lIns="18288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3CD5" id="Rectangle 1" o:spid="_x0000_s1026" alt="&quot;&quot;" style="position:absolute;margin-left:359.5pt;margin-top:-.9pt;width:198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" fillcolor="#ffc846" stroked="f" strokeweight=".27778mm">
              <v:shadow on="t" color="black" opacity=".5" origin=",.5" offset="0"/>
              <v:textbox inset="14.4pt,0,14.4pt,0">
                <w:txbxContent>
                  <w:p w14:paraId="0AE33119" w14:textId="77777777" w:rsidR="00630F54" w:rsidRDefault="00630F54" w:rsidP="00630F54">
                    <w:pPr>
                      <w:pStyle w:val="Heading2"/>
                      <w:spacing w:after="240"/>
                    </w:pPr>
                    <w:r>
                      <w:t>Dropout Definitions:</w:t>
                    </w:r>
                  </w:p>
                  <w:p w14:paraId="48DF4D1F" w14:textId="77777777" w:rsidR="00630F54" w:rsidRDefault="00630F54" w:rsidP="00630F54">
                    <w:r>
                      <w:t xml:space="preserve">Dropout – A student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are also counted as dropouts. </w:t>
                    </w:r>
                  </w:p>
                  <w:p w14:paraId="399E6B37" w14:textId="77777777" w:rsidR="00630F54" w:rsidRDefault="00630F54" w:rsidP="00630F54"/>
                  <w:p w14:paraId="0D83E55D" w14:textId="77777777" w:rsidR="00630F54" w:rsidRDefault="00630F54" w:rsidP="00630F54">
                    <w:r>
                      <w:t>Membership Base – All 7</w:t>
                    </w:r>
                    <w:r w:rsidRPr="00995932">
                      <w:rPr>
                        <w:vertAlign w:val="superscript"/>
                      </w:rPr>
                      <w:t>th</w:t>
                    </w:r>
                    <w:r>
                      <w:t>-12</w:t>
                    </w:r>
                    <w:r w:rsidRPr="00995932">
                      <w:rPr>
                        <w:vertAlign w:val="superscript"/>
                      </w:rPr>
                      <w:t>th</w:t>
                    </w:r>
                    <w:r>
                      <w:t xml:space="preserve"> grade students who were in membership at any point during the school year.</w:t>
                    </w:r>
                  </w:p>
                  <w:p w14:paraId="1802E619" w14:textId="77777777" w:rsidR="00630F54" w:rsidRDefault="00630F54" w:rsidP="00630F54"/>
                  <w:p w14:paraId="4242013B" w14:textId="4D2A9C65" w:rsidR="00630F54" w:rsidRDefault="00630F54" w:rsidP="00630F54">
                    <w:r>
                      <w:t xml:space="preserve">Dropout Rate – </w:t>
                    </w:r>
                    <w:r w:rsidR="001D4EDA">
                      <w:t xml:space="preserve">The percentage of students who dropped out during the school year within the membership base calculated by dividing the </w:t>
                    </w:r>
                    <w:r w:rsidR="00CA3538">
                      <w:t xml:space="preserve">number of dropouts divided by the </w:t>
                    </w:r>
                    <w:r w:rsidR="00213C16">
                      <w:t xml:space="preserve">number of students in the </w:t>
                    </w:r>
                    <w:r w:rsidR="00CA3538">
                      <w:t xml:space="preserve">membership </w:t>
                    </w:r>
                    <w:r w:rsidR="001D4EDA">
                      <w:t>base.</w:t>
                    </w:r>
                  </w:p>
                  <w:p w14:paraId="79361E74" w14:textId="77777777" w:rsidR="00630F54" w:rsidRDefault="00630F54" w:rsidP="00630F54"/>
                  <w:p w14:paraId="2C3B492B" w14:textId="77777777" w:rsidR="00630F54" w:rsidRDefault="00630F54" w:rsidP="00630F54">
                    <w:r>
                      <w:t>Subgroup Dropout Rates – Dropout rate calculated for a specific group of students categorized by their gender, race/ethnicity, or instructional program service type (IPST)</w:t>
                    </w:r>
                  </w:p>
                  <w:p w14:paraId="7972C85D" w14:textId="77777777" w:rsidR="00630F54" w:rsidRDefault="00630F54" w:rsidP="00630F54">
                    <w:pPr>
                      <w:pStyle w:val="ListParagraph"/>
                      <w:numPr>
                        <w:ilvl w:val="0"/>
                        <w:numId w:val="6"/>
                      </w:numPr>
                      <w:ind w:left="360" w:hanging="180"/>
                    </w:pPr>
                    <w:r>
                      <w:t>Gender</w:t>
                    </w:r>
                  </w:p>
                  <w:p w14:paraId="437D9E82" w14:textId="77777777" w:rsidR="00630F54" w:rsidRDefault="00630F54" w:rsidP="00630F54">
                    <w:pPr>
                      <w:pStyle w:val="ListParagraph"/>
                      <w:numPr>
                        <w:ilvl w:val="0"/>
                        <w:numId w:val="6"/>
                      </w:numPr>
                      <w:ind w:left="360" w:hanging="180"/>
                    </w:pPr>
                    <w:r>
                      <w:t>Race/Ethnicity</w:t>
                    </w:r>
                  </w:p>
                  <w:p w14:paraId="4536AB7B" w14:textId="77777777" w:rsidR="00630F54" w:rsidRDefault="00630F54" w:rsidP="00630F54">
                    <w:pPr>
                      <w:pStyle w:val="ListParagraph"/>
                      <w:numPr>
                        <w:ilvl w:val="0"/>
                        <w:numId w:val="6"/>
                      </w:numPr>
                      <w:ind w:left="360" w:hanging="180"/>
                    </w:pPr>
                    <w:r>
                      <w:t>IPST</w:t>
                    </w:r>
                  </w:p>
                  <w:p w14:paraId="5D5D67BF" w14:textId="77777777" w:rsidR="00630F54" w:rsidRDefault="00630F54" w:rsidP="00630F54">
                    <w:pPr>
                      <w:pStyle w:val="ListParagraph"/>
                      <w:numPr>
                        <w:ilvl w:val="1"/>
                        <w:numId w:val="6"/>
                      </w:numPr>
                      <w:ind w:left="540" w:hanging="180"/>
                    </w:pPr>
                    <w:r>
                      <w:t>Students with Disabilities</w:t>
                    </w:r>
                  </w:p>
                  <w:p w14:paraId="6361F0F6" w14:textId="77777777" w:rsidR="00630F54" w:rsidRDefault="00630F54" w:rsidP="00630F54">
                    <w:pPr>
                      <w:pStyle w:val="ListParagraph"/>
                      <w:numPr>
                        <w:ilvl w:val="1"/>
                        <w:numId w:val="6"/>
                      </w:numPr>
                      <w:ind w:left="540" w:hanging="180"/>
                    </w:pPr>
                    <w:r>
                      <w:t>English Learners</w:t>
                    </w:r>
                  </w:p>
                  <w:p w14:paraId="3F6600C2" w14:textId="77777777" w:rsidR="00630F54" w:rsidRDefault="00630F54" w:rsidP="00630F54">
                    <w:pPr>
                      <w:pStyle w:val="ListParagraph"/>
                      <w:numPr>
                        <w:ilvl w:val="1"/>
                        <w:numId w:val="6"/>
                      </w:numPr>
                      <w:ind w:left="540" w:hanging="180"/>
                    </w:pPr>
                    <w:r>
                      <w:t>Economically Disadvantaged</w:t>
                    </w:r>
                  </w:p>
                  <w:p w14:paraId="4737E1D3" w14:textId="77777777" w:rsidR="00630F54" w:rsidRDefault="00630F54" w:rsidP="00630F54">
                    <w:pPr>
                      <w:pStyle w:val="ListParagraph"/>
                      <w:numPr>
                        <w:ilvl w:val="1"/>
                        <w:numId w:val="6"/>
                      </w:numPr>
                      <w:ind w:left="540" w:hanging="180"/>
                    </w:pPr>
                    <w:r>
                      <w:t>Migrant</w:t>
                    </w:r>
                  </w:p>
                  <w:p w14:paraId="45DF4334" w14:textId="77777777" w:rsidR="00630F54" w:rsidRDefault="00630F54" w:rsidP="00630F54">
                    <w:pPr>
                      <w:pStyle w:val="ListParagraph"/>
                      <w:numPr>
                        <w:ilvl w:val="1"/>
                        <w:numId w:val="6"/>
                      </w:numPr>
                      <w:ind w:left="540" w:hanging="180"/>
                    </w:pPr>
                    <w:r>
                      <w:t>Title 1</w:t>
                    </w:r>
                  </w:p>
                  <w:p w14:paraId="2121FCC8" w14:textId="77777777" w:rsidR="00630F54" w:rsidRDefault="00630F54" w:rsidP="00630F54">
                    <w:pPr>
                      <w:pStyle w:val="ListParagraph"/>
                      <w:numPr>
                        <w:ilvl w:val="1"/>
                        <w:numId w:val="6"/>
                      </w:numPr>
                      <w:ind w:left="540" w:hanging="180"/>
                    </w:pPr>
                    <w:r>
                      <w:t>Homeless</w:t>
                    </w:r>
                  </w:p>
                  <w:p w14:paraId="2FEB44CC" w14:textId="77777777" w:rsidR="00630F54" w:rsidRDefault="00630F54" w:rsidP="00630F54">
                    <w:pPr>
                      <w:pStyle w:val="ListParagraph"/>
                      <w:numPr>
                        <w:ilvl w:val="1"/>
                        <w:numId w:val="6"/>
                      </w:numPr>
                      <w:ind w:left="540" w:hanging="180"/>
                    </w:pPr>
                    <w:r>
                      <w:t>Gifted and Talented</w:t>
                    </w:r>
                  </w:p>
                  <w:p w14:paraId="6FBB0C2A" w14:textId="77777777" w:rsidR="00630F54" w:rsidRDefault="00630F54" w:rsidP="00630F54">
                    <w:pPr>
                      <w:pStyle w:val="ListParagraph"/>
                      <w:numPr>
                        <w:ilvl w:val="1"/>
                        <w:numId w:val="6"/>
                      </w:numPr>
                      <w:ind w:left="540" w:hanging="180"/>
                    </w:pPr>
                    <w:r>
                      <w:t>Military Connected</w:t>
                    </w:r>
                  </w:p>
                  <w:p w14:paraId="75CEA117" w14:textId="77777777" w:rsidR="00630F54" w:rsidRDefault="00630F54" w:rsidP="00630F54">
                    <w:pPr>
                      <w:pStyle w:val="ListParagraph"/>
                      <w:numPr>
                        <w:ilvl w:val="1"/>
                        <w:numId w:val="6"/>
                      </w:numPr>
                      <w:ind w:left="540" w:hanging="180"/>
                    </w:pPr>
                    <w:r>
                      <w:t>Foster</w:t>
                    </w:r>
                  </w:p>
                  <w:p w14:paraId="1306D6AF" w14:textId="77777777" w:rsidR="00630F54" w:rsidRDefault="00630F54" w:rsidP="00630F54"/>
                  <w:p w14:paraId="0866BDA3" w14:textId="39872D5D" w:rsidR="00630F54" w:rsidRDefault="008D0EF6" w:rsidP="00630F54">
                    <w:pPr>
                      <w:jc w:val="center"/>
                    </w:pPr>
                    <w:hyperlink r:id="rId4" w:history="1">
                      <w:r w:rsidR="00630F54" w:rsidRPr="00D91F59">
                        <w:rPr>
                          <w:rStyle w:val="Hyperlink"/>
                        </w:rPr>
                        <w:t>Dropout Prevention and Student Reengagement Website</w:t>
                      </w:r>
                    </w:hyperlink>
                  </w:p>
                  <w:p w14:paraId="38D92061" w14:textId="77777777" w:rsidR="00406BDE" w:rsidRDefault="00406BDE" w:rsidP="00630F54">
                    <w:pPr>
                      <w:jc w:val="center"/>
                    </w:pPr>
                  </w:p>
                  <w:p w14:paraId="6885C352" w14:textId="19173F5C" w:rsidR="00630F54" w:rsidRPr="00BE17AC" w:rsidRDefault="008D0EF6" w:rsidP="00630F54">
                    <w:pPr>
                      <w:jc w:val="center"/>
                    </w:pPr>
                    <w:hyperlink r:id="rId5" w:history="1">
                      <w:r w:rsidR="00630F54" w:rsidRPr="00D91F59">
                        <w:rPr>
                          <w:rStyle w:val="Hyperlink"/>
                        </w:rPr>
                        <w:t>Dropout Statistics Website</w:t>
                      </w:r>
                    </w:hyperlink>
                  </w:p>
                  <w:p w14:paraId="3F49A518" w14:textId="77777777" w:rsidR="004267A4" w:rsidRDefault="004267A4" w:rsidP="004267A4"/>
                </w:txbxContent>
              </v:textbox>
              <w10:wrap anchory="page"/>
              <w10:anchorlock/>
            </v:rect>
          </w:pict>
        </mc:Fallback>
      </mc:AlternateContent>
    </w:r>
    <w:r w:rsidR="00630F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2570"/>
    <w:multiLevelType w:val="hybridMultilevel"/>
    <w:tmpl w:val="C3F8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475E"/>
    <w:multiLevelType w:val="hybridMultilevel"/>
    <w:tmpl w:val="FFFFFFFF"/>
    <w:lvl w:ilvl="0" w:tplc="BEEE4F82">
      <w:start w:val="1"/>
      <w:numFmt w:val="bullet"/>
      <w:lvlText w:val=""/>
      <w:lvlJc w:val="left"/>
      <w:pPr>
        <w:ind w:left="720" w:hanging="360"/>
      </w:pPr>
      <w:rPr>
        <w:rFonts w:ascii="Symbol" w:hAnsi="Symbol" w:hint="default"/>
      </w:rPr>
    </w:lvl>
    <w:lvl w:ilvl="1" w:tplc="8B0A908E">
      <w:start w:val="1"/>
      <w:numFmt w:val="bullet"/>
      <w:lvlText w:val="o"/>
      <w:lvlJc w:val="left"/>
      <w:pPr>
        <w:ind w:left="1440" w:hanging="360"/>
      </w:pPr>
      <w:rPr>
        <w:rFonts w:ascii="Courier New" w:hAnsi="Courier New" w:hint="default"/>
      </w:rPr>
    </w:lvl>
    <w:lvl w:ilvl="2" w:tplc="FCE6A730">
      <w:start w:val="1"/>
      <w:numFmt w:val="bullet"/>
      <w:lvlText w:val=""/>
      <w:lvlJc w:val="left"/>
      <w:pPr>
        <w:ind w:left="2160" w:hanging="360"/>
      </w:pPr>
      <w:rPr>
        <w:rFonts w:ascii="Wingdings" w:hAnsi="Wingdings" w:hint="default"/>
      </w:rPr>
    </w:lvl>
    <w:lvl w:ilvl="3" w:tplc="65B6567A">
      <w:start w:val="1"/>
      <w:numFmt w:val="bullet"/>
      <w:lvlText w:val=""/>
      <w:lvlJc w:val="left"/>
      <w:pPr>
        <w:ind w:left="2880" w:hanging="360"/>
      </w:pPr>
      <w:rPr>
        <w:rFonts w:ascii="Symbol" w:hAnsi="Symbol" w:hint="default"/>
      </w:rPr>
    </w:lvl>
    <w:lvl w:ilvl="4" w:tplc="E1E6C3E8">
      <w:start w:val="1"/>
      <w:numFmt w:val="bullet"/>
      <w:lvlText w:val="o"/>
      <w:lvlJc w:val="left"/>
      <w:pPr>
        <w:ind w:left="3600" w:hanging="360"/>
      </w:pPr>
      <w:rPr>
        <w:rFonts w:ascii="Courier New" w:hAnsi="Courier New" w:hint="default"/>
      </w:rPr>
    </w:lvl>
    <w:lvl w:ilvl="5" w:tplc="44E2E48E">
      <w:start w:val="1"/>
      <w:numFmt w:val="bullet"/>
      <w:lvlText w:val=""/>
      <w:lvlJc w:val="left"/>
      <w:pPr>
        <w:ind w:left="4320" w:hanging="360"/>
      </w:pPr>
      <w:rPr>
        <w:rFonts w:ascii="Wingdings" w:hAnsi="Wingdings" w:hint="default"/>
      </w:rPr>
    </w:lvl>
    <w:lvl w:ilvl="6" w:tplc="E064FD1A">
      <w:start w:val="1"/>
      <w:numFmt w:val="bullet"/>
      <w:lvlText w:val=""/>
      <w:lvlJc w:val="left"/>
      <w:pPr>
        <w:ind w:left="5040" w:hanging="360"/>
      </w:pPr>
      <w:rPr>
        <w:rFonts w:ascii="Symbol" w:hAnsi="Symbol" w:hint="default"/>
      </w:rPr>
    </w:lvl>
    <w:lvl w:ilvl="7" w:tplc="98D6BC3C">
      <w:start w:val="1"/>
      <w:numFmt w:val="bullet"/>
      <w:lvlText w:val="o"/>
      <w:lvlJc w:val="left"/>
      <w:pPr>
        <w:ind w:left="5760" w:hanging="360"/>
      </w:pPr>
      <w:rPr>
        <w:rFonts w:ascii="Courier New" w:hAnsi="Courier New" w:hint="default"/>
      </w:rPr>
    </w:lvl>
    <w:lvl w:ilvl="8" w:tplc="C3FAEE5C">
      <w:start w:val="1"/>
      <w:numFmt w:val="bullet"/>
      <w:lvlText w:val=""/>
      <w:lvlJc w:val="left"/>
      <w:pPr>
        <w:ind w:left="6480" w:hanging="360"/>
      </w:pPr>
      <w:rPr>
        <w:rFonts w:ascii="Wingdings" w:hAnsi="Wingdings" w:hint="default"/>
      </w:rPr>
    </w:lvl>
  </w:abstractNum>
  <w:abstractNum w:abstractNumId="3" w15:restartNumberingAfterBreak="0">
    <w:nsid w:val="218B9960"/>
    <w:multiLevelType w:val="hybridMultilevel"/>
    <w:tmpl w:val="FFFFFFFF"/>
    <w:lvl w:ilvl="0" w:tplc="49E8AFE0">
      <w:start w:val="1"/>
      <w:numFmt w:val="bullet"/>
      <w:lvlText w:val=""/>
      <w:lvlJc w:val="left"/>
      <w:pPr>
        <w:ind w:left="720" w:hanging="360"/>
      </w:pPr>
      <w:rPr>
        <w:rFonts w:ascii="Symbol" w:hAnsi="Symbol" w:hint="default"/>
      </w:rPr>
    </w:lvl>
    <w:lvl w:ilvl="1" w:tplc="BFFA88DE">
      <w:start w:val="1"/>
      <w:numFmt w:val="bullet"/>
      <w:lvlText w:val="o"/>
      <w:lvlJc w:val="left"/>
      <w:pPr>
        <w:ind w:left="1440" w:hanging="360"/>
      </w:pPr>
      <w:rPr>
        <w:rFonts w:ascii="Courier New" w:hAnsi="Courier New" w:hint="default"/>
      </w:rPr>
    </w:lvl>
    <w:lvl w:ilvl="2" w:tplc="26B8A650">
      <w:start w:val="1"/>
      <w:numFmt w:val="bullet"/>
      <w:lvlText w:val=""/>
      <w:lvlJc w:val="left"/>
      <w:pPr>
        <w:ind w:left="2160" w:hanging="360"/>
      </w:pPr>
      <w:rPr>
        <w:rFonts w:ascii="Wingdings" w:hAnsi="Wingdings" w:hint="default"/>
      </w:rPr>
    </w:lvl>
    <w:lvl w:ilvl="3" w:tplc="CC902A38">
      <w:start w:val="1"/>
      <w:numFmt w:val="bullet"/>
      <w:lvlText w:val=""/>
      <w:lvlJc w:val="left"/>
      <w:pPr>
        <w:ind w:left="2880" w:hanging="360"/>
      </w:pPr>
      <w:rPr>
        <w:rFonts w:ascii="Symbol" w:hAnsi="Symbol" w:hint="default"/>
      </w:rPr>
    </w:lvl>
    <w:lvl w:ilvl="4" w:tplc="334413E4">
      <w:start w:val="1"/>
      <w:numFmt w:val="bullet"/>
      <w:lvlText w:val="o"/>
      <w:lvlJc w:val="left"/>
      <w:pPr>
        <w:ind w:left="3600" w:hanging="360"/>
      </w:pPr>
      <w:rPr>
        <w:rFonts w:ascii="Courier New" w:hAnsi="Courier New" w:hint="default"/>
      </w:rPr>
    </w:lvl>
    <w:lvl w:ilvl="5" w:tplc="5310F3A4">
      <w:start w:val="1"/>
      <w:numFmt w:val="bullet"/>
      <w:lvlText w:val=""/>
      <w:lvlJc w:val="left"/>
      <w:pPr>
        <w:ind w:left="4320" w:hanging="360"/>
      </w:pPr>
      <w:rPr>
        <w:rFonts w:ascii="Wingdings" w:hAnsi="Wingdings" w:hint="default"/>
      </w:rPr>
    </w:lvl>
    <w:lvl w:ilvl="6" w:tplc="64F0C8FC">
      <w:start w:val="1"/>
      <w:numFmt w:val="bullet"/>
      <w:lvlText w:val=""/>
      <w:lvlJc w:val="left"/>
      <w:pPr>
        <w:ind w:left="5040" w:hanging="360"/>
      </w:pPr>
      <w:rPr>
        <w:rFonts w:ascii="Symbol" w:hAnsi="Symbol" w:hint="default"/>
      </w:rPr>
    </w:lvl>
    <w:lvl w:ilvl="7" w:tplc="EF8C6F78">
      <w:start w:val="1"/>
      <w:numFmt w:val="bullet"/>
      <w:lvlText w:val="o"/>
      <w:lvlJc w:val="left"/>
      <w:pPr>
        <w:ind w:left="5760" w:hanging="360"/>
      </w:pPr>
      <w:rPr>
        <w:rFonts w:ascii="Courier New" w:hAnsi="Courier New" w:hint="default"/>
      </w:rPr>
    </w:lvl>
    <w:lvl w:ilvl="8" w:tplc="CB46DA64">
      <w:start w:val="1"/>
      <w:numFmt w:val="bullet"/>
      <w:lvlText w:val=""/>
      <w:lvlJc w:val="left"/>
      <w:pPr>
        <w:ind w:left="6480" w:hanging="360"/>
      </w:pPr>
      <w:rPr>
        <w:rFonts w:ascii="Wingdings" w:hAnsi="Wingdings" w:hint="default"/>
      </w:rPr>
    </w:lvl>
  </w:abstractNum>
  <w:abstractNum w:abstractNumId="4" w15:restartNumberingAfterBreak="0">
    <w:nsid w:val="5326F734"/>
    <w:multiLevelType w:val="hybridMultilevel"/>
    <w:tmpl w:val="FFFFFFFF"/>
    <w:lvl w:ilvl="0" w:tplc="A296D7C2">
      <w:start w:val="1"/>
      <w:numFmt w:val="bullet"/>
      <w:lvlText w:val=""/>
      <w:lvlJc w:val="left"/>
      <w:pPr>
        <w:ind w:left="720" w:hanging="360"/>
      </w:pPr>
      <w:rPr>
        <w:rFonts w:ascii="Symbol" w:hAnsi="Symbol" w:hint="default"/>
      </w:rPr>
    </w:lvl>
    <w:lvl w:ilvl="1" w:tplc="D96CA81E">
      <w:start w:val="1"/>
      <w:numFmt w:val="bullet"/>
      <w:lvlText w:val="o"/>
      <w:lvlJc w:val="left"/>
      <w:pPr>
        <w:ind w:left="1440" w:hanging="360"/>
      </w:pPr>
      <w:rPr>
        <w:rFonts w:ascii="Courier New" w:hAnsi="Courier New" w:hint="default"/>
      </w:rPr>
    </w:lvl>
    <w:lvl w:ilvl="2" w:tplc="2E8C3D16">
      <w:start w:val="1"/>
      <w:numFmt w:val="bullet"/>
      <w:lvlText w:val=""/>
      <w:lvlJc w:val="left"/>
      <w:pPr>
        <w:ind w:left="2160" w:hanging="360"/>
      </w:pPr>
      <w:rPr>
        <w:rFonts w:ascii="Wingdings" w:hAnsi="Wingdings" w:hint="default"/>
      </w:rPr>
    </w:lvl>
    <w:lvl w:ilvl="3" w:tplc="C2D4EE70">
      <w:start w:val="1"/>
      <w:numFmt w:val="bullet"/>
      <w:lvlText w:val=""/>
      <w:lvlJc w:val="left"/>
      <w:pPr>
        <w:ind w:left="2880" w:hanging="360"/>
      </w:pPr>
      <w:rPr>
        <w:rFonts w:ascii="Symbol" w:hAnsi="Symbol" w:hint="default"/>
      </w:rPr>
    </w:lvl>
    <w:lvl w:ilvl="4" w:tplc="D946D4F2">
      <w:start w:val="1"/>
      <w:numFmt w:val="bullet"/>
      <w:lvlText w:val="o"/>
      <w:lvlJc w:val="left"/>
      <w:pPr>
        <w:ind w:left="3600" w:hanging="360"/>
      </w:pPr>
      <w:rPr>
        <w:rFonts w:ascii="Courier New" w:hAnsi="Courier New" w:hint="default"/>
      </w:rPr>
    </w:lvl>
    <w:lvl w:ilvl="5" w:tplc="C2781442">
      <w:start w:val="1"/>
      <w:numFmt w:val="bullet"/>
      <w:lvlText w:val=""/>
      <w:lvlJc w:val="left"/>
      <w:pPr>
        <w:ind w:left="4320" w:hanging="360"/>
      </w:pPr>
      <w:rPr>
        <w:rFonts w:ascii="Wingdings" w:hAnsi="Wingdings" w:hint="default"/>
      </w:rPr>
    </w:lvl>
    <w:lvl w:ilvl="6" w:tplc="9E7EBC96">
      <w:start w:val="1"/>
      <w:numFmt w:val="bullet"/>
      <w:lvlText w:val=""/>
      <w:lvlJc w:val="left"/>
      <w:pPr>
        <w:ind w:left="5040" w:hanging="360"/>
      </w:pPr>
      <w:rPr>
        <w:rFonts w:ascii="Symbol" w:hAnsi="Symbol" w:hint="default"/>
      </w:rPr>
    </w:lvl>
    <w:lvl w:ilvl="7" w:tplc="3F6448E4">
      <w:start w:val="1"/>
      <w:numFmt w:val="bullet"/>
      <w:lvlText w:val="o"/>
      <w:lvlJc w:val="left"/>
      <w:pPr>
        <w:ind w:left="5760" w:hanging="360"/>
      </w:pPr>
      <w:rPr>
        <w:rFonts w:ascii="Courier New" w:hAnsi="Courier New" w:hint="default"/>
      </w:rPr>
    </w:lvl>
    <w:lvl w:ilvl="8" w:tplc="AB14CE38">
      <w:start w:val="1"/>
      <w:numFmt w:val="bullet"/>
      <w:lvlText w:val=""/>
      <w:lvlJc w:val="left"/>
      <w:pPr>
        <w:ind w:left="6480" w:hanging="360"/>
      </w:pPr>
      <w:rPr>
        <w:rFonts w:ascii="Wingdings" w:hAnsi="Wingdings" w:hint="default"/>
      </w:rPr>
    </w:lvl>
  </w:abstractNum>
  <w:abstractNum w:abstractNumId="5" w15:restartNumberingAfterBreak="0">
    <w:nsid w:val="620EA5E4"/>
    <w:multiLevelType w:val="hybridMultilevel"/>
    <w:tmpl w:val="FFFFFFFF"/>
    <w:lvl w:ilvl="0" w:tplc="B05C5986">
      <w:start w:val="1"/>
      <w:numFmt w:val="bullet"/>
      <w:lvlText w:val=""/>
      <w:lvlJc w:val="left"/>
      <w:pPr>
        <w:ind w:left="720" w:hanging="360"/>
      </w:pPr>
      <w:rPr>
        <w:rFonts w:ascii="Symbol" w:hAnsi="Symbol" w:hint="default"/>
      </w:rPr>
    </w:lvl>
    <w:lvl w:ilvl="1" w:tplc="035A122E">
      <w:start w:val="1"/>
      <w:numFmt w:val="bullet"/>
      <w:lvlText w:val="o"/>
      <w:lvlJc w:val="left"/>
      <w:pPr>
        <w:ind w:left="1440" w:hanging="360"/>
      </w:pPr>
      <w:rPr>
        <w:rFonts w:ascii="Courier New" w:hAnsi="Courier New" w:hint="default"/>
      </w:rPr>
    </w:lvl>
    <w:lvl w:ilvl="2" w:tplc="B22CF21C">
      <w:start w:val="1"/>
      <w:numFmt w:val="bullet"/>
      <w:lvlText w:val=""/>
      <w:lvlJc w:val="left"/>
      <w:pPr>
        <w:ind w:left="2160" w:hanging="360"/>
      </w:pPr>
      <w:rPr>
        <w:rFonts w:ascii="Wingdings" w:hAnsi="Wingdings" w:hint="default"/>
      </w:rPr>
    </w:lvl>
    <w:lvl w:ilvl="3" w:tplc="B29A2EC6">
      <w:start w:val="1"/>
      <w:numFmt w:val="bullet"/>
      <w:lvlText w:val=""/>
      <w:lvlJc w:val="left"/>
      <w:pPr>
        <w:ind w:left="2880" w:hanging="360"/>
      </w:pPr>
      <w:rPr>
        <w:rFonts w:ascii="Symbol" w:hAnsi="Symbol" w:hint="default"/>
      </w:rPr>
    </w:lvl>
    <w:lvl w:ilvl="4" w:tplc="DCB0092E">
      <w:start w:val="1"/>
      <w:numFmt w:val="bullet"/>
      <w:lvlText w:val="o"/>
      <w:lvlJc w:val="left"/>
      <w:pPr>
        <w:ind w:left="3600" w:hanging="360"/>
      </w:pPr>
      <w:rPr>
        <w:rFonts w:ascii="Courier New" w:hAnsi="Courier New" w:hint="default"/>
      </w:rPr>
    </w:lvl>
    <w:lvl w:ilvl="5" w:tplc="6B64518A">
      <w:start w:val="1"/>
      <w:numFmt w:val="bullet"/>
      <w:lvlText w:val=""/>
      <w:lvlJc w:val="left"/>
      <w:pPr>
        <w:ind w:left="4320" w:hanging="360"/>
      </w:pPr>
      <w:rPr>
        <w:rFonts w:ascii="Wingdings" w:hAnsi="Wingdings" w:hint="default"/>
      </w:rPr>
    </w:lvl>
    <w:lvl w:ilvl="6" w:tplc="77405DE4">
      <w:start w:val="1"/>
      <w:numFmt w:val="bullet"/>
      <w:lvlText w:val=""/>
      <w:lvlJc w:val="left"/>
      <w:pPr>
        <w:ind w:left="5040" w:hanging="360"/>
      </w:pPr>
      <w:rPr>
        <w:rFonts w:ascii="Symbol" w:hAnsi="Symbol" w:hint="default"/>
      </w:rPr>
    </w:lvl>
    <w:lvl w:ilvl="7" w:tplc="764A58D0">
      <w:start w:val="1"/>
      <w:numFmt w:val="bullet"/>
      <w:lvlText w:val="o"/>
      <w:lvlJc w:val="left"/>
      <w:pPr>
        <w:ind w:left="5760" w:hanging="360"/>
      </w:pPr>
      <w:rPr>
        <w:rFonts w:ascii="Courier New" w:hAnsi="Courier New" w:hint="default"/>
      </w:rPr>
    </w:lvl>
    <w:lvl w:ilvl="8" w:tplc="7C78654E">
      <w:start w:val="1"/>
      <w:numFmt w:val="bullet"/>
      <w:lvlText w:val=""/>
      <w:lvlJc w:val="left"/>
      <w:pPr>
        <w:ind w:left="6480" w:hanging="360"/>
      </w:pPr>
      <w:rPr>
        <w:rFonts w:ascii="Wingdings" w:hAnsi="Wingdings" w:hint="default"/>
      </w:rPr>
    </w:lvl>
  </w:abstractNum>
  <w:abstractNum w:abstractNumId="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9"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815067">
    <w:abstractNumId w:val="6"/>
  </w:num>
  <w:num w:numId="2" w16cid:durableId="1014452750">
    <w:abstractNumId w:val="6"/>
  </w:num>
  <w:num w:numId="3" w16cid:durableId="900677004">
    <w:abstractNumId w:val="7"/>
  </w:num>
  <w:num w:numId="4" w16cid:durableId="1643123192">
    <w:abstractNumId w:val="6"/>
  </w:num>
  <w:num w:numId="5" w16cid:durableId="482236608">
    <w:abstractNumId w:val="7"/>
  </w:num>
  <w:num w:numId="6" w16cid:durableId="537396884">
    <w:abstractNumId w:val="1"/>
  </w:num>
  <w:num w:numId="7" w16cid:durableId="393702995">
    <w:abstractNumId w:val="8"/>
  </w:num>
  <w:num w:numId="8" w16cid:durableId="900795505">
    <w:abstractNumId w:val="9"/>
  </w:num>
  <w:num w:numId="9" w16cid:durableId="1649893328">
    <w:abstractNumId w:val="0"/>
  </w:num>
  <w:num w:numId="10" w16cid:durableId="1193415621">
    <w:abstractNumId w:val="2"/>
  </w:num>
  <w:num w:numId="11" w16cid:durableId="1914462471">
    <w:abstractNumId w:val="3"/>
  </w:num>
  <w:num w:numId="12" w16cid:durableId="1620457045">
    <w:abstractNumId w:val="4"/>
  </w:num>
  <w:num w:numId="13" w16cid:durableId="14458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JLlAAExggeZYNHTXcQRUE4SFf3cJD2N0XaSV8ylReqifTRj8OpcqF2G/hgeDRomDdZ/5e/xjGTu8D4qTPImHfw==" w:salt="WdWHvniCkgNwHWFnF37m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1071E"/>
    <w:rsid w:val="000119AD"/>
    <w:rsid w:val="00015626"/>
    <w:rsid w:val="00016357"/>
    <w:rsid w:val="000216C7"/>
    <w:rsid w:val="000217CF"/>
    <w:rsid w:val="00023D5B"/>
    <w:rsid w:val="000268CF"/>
    <w:rsid w:val="00030C28"/>
    <w:rsid w:val="00033738"/>
    <w:rsid w:val="000340E1"/>
    <w:rsid w:val="000374DE"/>
    <w:rsid w:val="00042451"/>
    <w:rsid w:val="000426CD"/>
    <w:rsid w:val="00044E00"/>
    <w:rsid w:val="0005098D"/>
    <w:rsid w:val="00051018"/>
    <w:rsid w:val="00052EDD"/>
    <w:rsid w:val="0005455B"/>
    <w:rsid w:val="000717FA"/>
    <w:rsid w:val="000733B3"/>
    <w:rsid w:val="00077DD6"/>
    <w:rsid w:val="00077DDB"/>
    <w:rsid w:val="000816D4"/>
    <w:rsid w:val="0008382B"/>
    <w:rsid w:val="00084FC3"/>
    <w:rsid w:val="00087C80"/>
    <w:rsid w:val="0009410D"/>
    <w:rsid w:val="00095258"/>
    <w:rsid w:val="000A02D6"/>
    <w:rsid w:val="000A1406"/>
    <w:rsid w:val="000A46DF"/>
    <w:rsid w:val="000B09EF"/>
    <w:rsid w:val="000B5FC1"/>
    <w:rsid w:val="000B6B55"/>
    <w:rsid w:val="000C9C9F"/>
    <w:rsid w:val="000E1111"/>
    <w:rsid w:val="000F2E6E"/>
    <w:rsid w:val="000F508A"/>
    <w:rsid w:val="000F5201"/>
    <w:rsid w:val="000F72BD"/>
    <w:rsid w:val="0010073C"/>
    <w:rsid w:val="00102DD1"/>
    <w:rsid w:val="00103440"/>
    <w:rsid w:val="001139EC"/>
    <w:rsid w:val="00116967"/>
    <w:rsid w:val="001174EE"/>
    <w:rsid w:val="00122D8A"/>
    <w:rsid w:val="00131A0B"/>
    <w:rsid w:val="00137449"/>
    <w:rsid w:val="00142539"/>
    <w:rsid w:val="00165B9C"/>
    <w:rsid w:val="00175F15"/>
    <w:rsid w:val="00181338"/>
    <w:rsid w:val="00185832"/>
    <w:rsid w:val="001865D4"/>
    <w:rsid w:val="001915C8"/>
    <w:rsid w:val="001A2676"/>
    <w:rsid w:val="001A373F"/>
    <w:rsid w:val="001A5A4B"/>
    <w:rsid w:val="001C4EF4"/>
    <w:rsid w:val="001D2CD3"/>
    <w:rsid w:val="001D4EDA"/>
    <w:rsid w:val="001D5372"/>
    <w:rsid w:val="001D545A"/>
    <w:rsid w:val="001E7162"/>
    <w:rsid w:val="00200DF6"/>
    <w:rsid w:val="002051FE"/>
    <w:rsid w:val="00207E96"/>
    <w:rsid w:val="0021048E"/>
    <w:rsid w:val="00213C16"/>
    <w:rsid w:val="00223288"/>
    <w:rsid w:val="002270AA"/>
    <w:rsid w:val="0023298D"/>
    <w:rsid w:val="002343CE"/>
    <w:rsid w:val="00236329"/>
    <w:rsid w:val="00242671"/>
    <w:rsid w:val="00244A37"/>
    <w:rsid w:val="0025309C"/>
    <w:rsid w:val="0026455C"/>
    <w:rsid w:val="002673BA"/>
    <w:rsid w:val="00272DED"/>
    <w:rsid w:val="00280873"/>
    <w:rsid w:val="00280EFA"/>
    <w:rsid w:val="00287151"/>
    <w:rsid w:val="00290948"/>
    <w:rsid w:val="00291AAD"/>
    <w:rsid w:val="00294F34"/>
    <w:rsid w:val="002A4189"/>
    <w:rsid w:val="002A4D36"/>
    <w:rsid w:val="002B7237"/>
    <w:rsid w:val="002B7596"/>
    <w:rsid w:val="002C53B8"/>
    <w:rsid w:val="002C5A5E"/>
    <w:rsid w:val="002D073D"/>
    <w:rsid w:val="002D1930"/>
    <w:rsid w:val="002F1409"/>
    <w:rsid w:val="002F3706"/>
    <w:rsid w:val="003016BC"/>
    <w:rsid w:val="00305343"/>
    <w:rsid w:val="003055D6"/>
    <w:rsid w:val="00305BBF"/>
    <w:rsid w:val="00306339"/>
    <w:rsid w:val="00310721"/>
    <w:rsid w:val="003147B6"/>
    <w:rsid w:val="00314898"/>
    <w:rsid w:val="003149F0"/>
    <w:rsid w:val="00320356"/>
    <w:rsid w:val="00320EED"/>
    <w:rsid w:val="003236B6"/>
    <w:rsid w:val="00323B4C"/>
    <w:rsid w:val="0033092D"/>
    <w:rsid w:val="003328DD"/>
    <w:rsid w:val="00344DB5"/>
    <w:rsid w:val="00351F13"/>
    <w:rsid w:val="0035601B"/>
    <w:rsid w:val="00356968"/>
    <w:rsid w:val="00366433"/>
    <w:rsid w:val="0038219E"/>
    <w:rsid w:val="003853E0"/>
    <w:rsid w:val="00391DCC"/>
    <w:rsid w:val="003A4A13"/>
    <w:rsid w:val="003A4DF0"/>
    <w:rsid w:val="003A6662"/>
    <w:rsid w:val="003A7474"/>
    <w:rsid w:val="003A75A0"/>
    <w:rsid w:val="003B3D17"/>
    <w:rsid w:val="003D33AD"/>
    <w:rsid w:val="003E1CD2"/>
    <w:rsid w:val="003E521A"/>
    <w:rsid w:val="003E5E15"/>
    <w:rsid w:val="003F7C91"/>
    <w:rsid w:val="00404CFD"/>
    <w:rsid w:val="00406BDE"/>
    <w:rsid w:val="0041475A"/>
    <w:rsid w:val="004150D4"/>
    <w:rsid w:val="00415DF3"/>
    <w:rsid w:val="0042020B"/>
    <w:rsid w:val="00423418"/>
    <w:rsid w:val="004267A4"/>
    <w:rsid w:val="00430977"/>
    <w:rsid w:val="0043526D"/>
    <w:rsid w:val="00441C25"/>
    <w:rsid w:val="004522D0"/>
    <w:rsid w:val="004556A0"/>
    <w:rsid w:val="00467489"/>
    <w:rsid w:val="0047287E"/>
    <w:rsid w:val="00481BE2"/>
    <w:rsid w:val="00487471"/>
    <w:rsid w:val="004876F1"/>
    <w:rsid w:val="004931FA"/>
    <w:rsid w:val="00494725"/>
    <w:rsid w:val="00495D44"/>
    <w:rsid w:val="00497F00"/>
    <w:rsid w:val="004A19DF"/>
    <w:rsid w:val="004A4517"/>
    <w:rsid w:val="004A7BF4"/>
    <w:rsid w:val="004A7DF4"/>
    <w:rsid w:val="004B027E"/>
    <w:rsid w:val="004B044D"/>
    <w:rsid w:val="004B301F"/>
    <w:rsid w:val="004B5A42"/>
    <w:rsid w:val="004E1625"/>
    <w:rsid w:val="004E1CC4"/>
    <w:rsid w:val="004E627A"/>
    <w:rsid w:val="004E777C"/>
    <w:rsid w:val="004E7928"/>
    <w:rsid w:val="004F6C57"/>
    <w:rsid w:val="00502358"/>
    <w:rsid w:val="00502839"/>
    <w:rsid w:val="00507B16"/>
    <w:rsid w:val="00514779"/>
    <w:rsid w:val="00514B73"/>
    <w:rsid w:val="00526610"/>
    <w:rsid w:val="0052793A"/>
    <w:rsid w:val="00534D5B"/>
    <w:rsid w:val="0053506E"/>
    <w:rsid w:val="00536711"/>
    <w:rsid w:val="00540127"/>
    <w:rsid w:val="005432CC"/>
    <w:rsid w:val="00545135"/>
    <w:rsid w:val="00555DAD"/>
    <w:rsid w:val="005574F8"/>
    <w:rsid w:val="0056067A"/>
    <w:rsid w:val="00565FA3"/>
    <w:rsid w:val="005708FB"/>
    <w:rsid w:val="00593C13"/>
    <w:rsid w:val="00596606"/>
    <w:rsid w:val="005A2012"/>
    <w:rsid w:val="005A35C7"/>
    <w:rsid w:val="005C0A21"/>
    <w:rsid w:val="005D1CAF"/>
    <w:rsid w:val="005D24F3"/>
    <w:rsid w:val="005E3BA8"/>
    <w:rsid w:val="005E4807"/>
    <w:rsid w:val="005F1F62"/>
    <w:rsid w:val="005F52B1"/>
    <w:rsid w:val="006128DF"/>
    <w:rsid w:val="00621530"/>
    <w:rsid w:val="00622BBE"/>
    <w:rsid w:val="00624562"/>
    <w:rsid w:val="006252A0"/>
    <w:rsid w:val="00627445"/>
    <w:rsid w:val="00630F54"/>
    <w:rsid w:val="006354CB"/>
    <w:rsid w:val="006374DE"/>
    <w:rsid w:val="00650877"/>
    <w:rsid w:val="00655481"/>
    <w:rsid w:val="0065618F"/>
    <w:rsid w:val="006607AB"/>
    <w:rsid w:val="00660FEB"/>
    <w:rsid w:val="0066743C"/>
    <w:rsid w:val="006703C7"/>
    <w:rsid w:val="00680757"/>
    <w:rsid w:val="00680A43"/>
    <w:rsid w:val="00684371"/>
    <w:rsid w:val="00684EFC"/>
    <w:rsid w:val="00697E09"/>
    <w:rsid w:val="006A0E28"/>
    <w:rsid w:val="006A0E30"/>
    <w:rsid w:val="006A3F0E"/>
    <w:rsid w:val="006B22FE"/>
    <w:rsid w:val="006B777C"/>
    <w:rsid w:val="006C2F1E"/>
    <w:rsid w:val="006C5045"/>
    <w:rsid w:val="006C5505"/>
    <w:rsid w:val="006C70EA"/>
    <w:rsid w:val="006D5688"/>
    <w:rsid w:val="006D6A42"/>
    <w:rsid w:val="006D7566"/>
    <w:rsid w:val="006E2646"/>
    <w:rsid w:val="006E4ACD"/>
    <w:rsid w:val="006F410C"/>
    <w:rsid w:val="006F6036"/>
    <w:rsid w:val="007004E0"/>
    <w:rsid w:val="007100CA"/>
    <w:rsid w:val="0072377A"/>
    <w:rsid w:val="00730FA3"/>
    <w:rsid w:val="00732558"/>
    <w:rsid w:val="007357E2"/>
    <w:rsid w:val="00751222"/>
    <w:rsid w:val="007551C1"/>
    <w:rsid w:val="0076342F"/>
    <w:rsid w:val="00764158"/>
    <w:rsid w:val="00765F8A"/>
    <w:rsid w:val="00766870"/>
    <w:rsid w:val="00767BE5"/>
    <w:rsid w:val="00767EE2"/>
    <w:rsid w:val="00774757"/>
    <w:rsid w:val="007819ED"/>
    <w:rsid w:val="00793700"/>
    <w:rsid w:val="00795C3B"/>
    <w:rsid w:val="007970B3"/>
    <w:rsid w:val="007A1750"/>
    <w:rsid w:val="007A2167"/>
    <w:rsid w:val="007A6945"/>
    <w:rsid w:val="007B02DC"/>
    <w:rsid w:val="007B225C"/>
    <w:rsid w:val="007B5294"/>
    <w:rsid w:val="007B5613"/>
    <w:rsid w:val="007C12DF"/>
    <w:rsid w:val="007C4B63"/>
    <w:rsid w:val="007E0789"/>
    <w:rsid w:val="007E0883"/>
    <w:rsid w:val="007E2014"/>
    <w:rsid w:val="007E5C63"/>
    <w:rsid w:val="007E62A4"/>
    <w:rsid w:val="007E7AB0"/>
    <w:rsid w:val="008160BE"/>
    <w:rsid w:val="008244F2"/>
    <w:rsid w:val="00826133"/>
    <w:rsid w:val="0083134F"/>
    <w:rsid w:val="008400ED"/>
    <w:rsid w:val="008428F4"/>
    <w:rsid w:val="00846456"/>
    <w:rsid w:val="00850BF3"/>
    <w:rsid w:val="00854642"/>
    <w:rsid w:val="00854AB7"/>
    <w:rsid w:val="00863A16"/>
    <w:rsid w:val="00864049"/>
    <w:rsid w:val="00864C50"/>
    <w:rsid w:val="00867F78"/>
    <w:rsid w:val="00870E97"/>
    <w:rsid w:val="0087461D"/>
    <w:rsid w:val="00881156"/>
    <w:rsid w:val="00884765"/>
    <w:rsid w:val="008855F4"/>
    <w:rsid w:val="00885D10"/>
    <w:rsid w:val="00892CA7"/>
    <w:rsid w:val="00894F59"/>
    <w:rsid w:val="008A3A77"/>
    <w:rsid w:val="008A4315"/>
    <w:rsid w:val="008A7B37"/>
    <w:rsid w:val="008B2041"/>
    <w:rsid w:val="008B3147"/>
    <w:rsid w:val="008B4BC2"/>
    <w:rsid w:val="008B64D8"/>
    <w:rsid w:val="008C0833"/>
    <w:rsid w:val="008C7DBC"/>
    <w:rsid w:val="008D03A6"/>
    <w:rsid w:val="008D0E9A"/>
    <w:rsid w:val="008D0EF6"/>
    <w:rsid w:val="008D3702"/>
    <w:rsid w:val="008D390D"/>
    <w:rsid w:val="008D4BE7"/>
    <w:rsid w:val="008E0CFD"/>
    <w:rsid w:val="008E22ED"/>
    <w:rsid w:val="008E3779"/>
    <w:rsid w:val="008E3ABD"/>
    <w:rsid w:val="008E72FD"/>
    <w:rsid w:val="008F01AC"/>
    <w:rsid w:val="008F0D37"/>
    <w:rsid w:val="008F12B7"/>
    <w:rsid w:val="008F2FD2"/>
    <w:rsid w:val="008F54B5"/>
    <w:rsid w:val="008F7C71"/>
    <w:rsid w:val="00900411"/>
    <w:rsid w:val="00901D59"/>
    <w:rsid w:val="00902C4F"/>
    <w:rsid w:val="00903EBE"/>
    <w:rsid w:val="00904529"/>
    <w:rsid w:val="00905702"/>
    <w:rsid w:val="009128B9"/>
    <w:rsid w:val="00920B1C"/>
    <w:rsid w:val="009238CD"/>
    <w:rsid w:val="0093055C"/>
    <w:rsid w:val="00930875"/>
    <w:rsid w:val="009418FB"/>
    <w:rsid w:val="009426C4"/>
    <w:rsid w:val="00944387"/>
    <w:rsid w:val="0094524E"/>
    <w:rsid w:val="009467C2"/>
    <w:rsid w:val="0094680C"/>
    <w:rsid w:val="009503AF"/>
    <w:rsid w:val="00953533"/>
    <w:rsid w:val="00965850"/>
    <w:rsid w:val="00970A77"/>
    <w:rsid w:val="00971AF6"/>
    <w:rsid w:val="00973A07"/>
    <w:rsid w:val="00974A8E"/>
    <w:rsid w:val="00974B53"/>
    <w:rsid w:val="00974C2C"/>
    <w:rsid w:val="00991D78"/>
    <w:rsid w:val="00995932"/>
    <w:rsid w:val="009A4DDD"/>
    <w:rsid w:val="009A723E"/>
    <w:rsid w:val="009A73D2"/>
    <w:rsid w:val="009B2193"/>
    <w:rsid w:val="009C3365"/>
    <w:rsid w:val="009D3FDA"/>
    <w:rsid w:val="009D5C13"/>
    <w:rsid w:val="009E0510"/>
    <w:rsid w:val="009E22E5"/>
    <w:rsid w:val="009E40B4"/>
    <w:rsid w:val="009E626F"/>
    <w:rsid w:val="009E6CDA"/>
    <w:rsid w:val="009F0A0E"/>
    <w:rsid w:val="009F334F"/>
    <w:rsid w:val="009F3627"/>
    <w:rsid w:val="009F669C"/>
    <w:rsid w:val="009F6DEC"/>
    <w:rsid w:val="00A00452"/>
    <w:rsid w:val="00A048A8"/>
    <w:rsid w:val="00A1039F"/>
    <w:rsid w:val="00A151C3"/>
    <w:rsid w:val="00A17639"/>
    <w:rsid w:val="00A21AF4"/>
    <w:rsid w:val="00A23CC3"/>
    <w:rsid w:val="00A245F7"/>
    <w:rsid w:val="00A255CA"/>
    <w:rsid w:val="00A32565"/>
    <w:rsid w:val="00A3514A"/>
    <w:rsid w:val="00A4151A"/>
    <w:rsid w:val="00A418DE"/>
    <w:rsid w:val="00A44349"/>
    <w:rsid w:val="00A55821"/>
    <w:rsid w:val="00A60A49"/>
    <w:rsid w:val="00A61616"/>
    <w:rsid w:val="00A65B93"/>
    <w:rsid w:val="00A6744F"/>
    <w:rsid w:val="00A6748A"/>
    <w:rsid w:val="00A67B7B"/>
    <w:rsid w:val="00A722C6"/>
    <w:rsid w:val="00A75867"/>
    <w:rsid w:val="00A75A46"/>
    <w:rsid w:val="00A852A5"/>
    <w:rsid w:val="00A9297F"/>
    <w:rsid w:val="00A95F53"/>
    <w:rsid w:val="00A97D39"/>
    <w:rsid w:val="00AA0ECF"/>
    <w:rsid w:val="00AA3C12"/>
    <w:rsid w:val="00AB795D"/>
    <w:rsid w:val="00AC588B"/>
    <w:rsid w:val="00AC59A9"/>
    <w:rsid w:val="00AC5E6A"/>
    <w:rsid w:val="00AD1CBE"/>
    <w:rsid w:val="00AD26FA"/>
    <w:rsid w:val="00AD6241"/>
    <w:rsid w:val="00AE5565"/>
    <w:rsid w:val="00AF0530"/>
    <w:rsid w:val="00B00D69"/>
    <w:rsid w:val="00B01D62"/>
    <w:rsid w:val="00B075FD"/>
    <w:rsid w:val="00B14B38"/>
    <w:rsid w:val="00B22AF4"/>
    <w:rsid w:val="00B2379B"/>
    <w:rsid w:val="00B3242D"/>
    <w:rsid w:val="00B32EA6"/>
    <w:rsid w:val="00B4233F"/>
    <w:rsid w:val="00B43D6B"/>
    <w:rsid w:val="00B44018"/>
    <w:rsid w:val="00B47510"/>
    <w:rsid w:val="00B5539C"/>
    <w:rsid w:val="00B655EA"/>
    <w:rsid w:val="00B75D0F"/>
    <w:rsid w:val="00B80C91"/>
    <w:rsid w:val="00B828B3"/>
    <w:rsid w:val="00B83063"/>
    <w:rsid w:val="00B91DD2"/>
    <w:rsid w:val="00B93CB9"/>
    <w:rsid w:val="00BA22B0"/>
    <w:rsid w:val="00BA2AE9"/>
    <w:rsid w:val="00BB48CD"/>
    <w:rsid w:val="00BB4E29"/>
    <w:rsid w:val="00BB73D9"/>
    <w:rsid w:val="00BC32DA"/>
    <w:rsid w:val="00BD3459"/>
    <w:rsid w:val="00BD500D"/>
    <w:rsid w:val="00BD5646"/>
    <w:rsid w:val="00BD5CF2"/>
    <w:rsid w:val="00BD7636"/>
    <w:rsid w:val="00BE17AC"/>
    <w:rsid w:val="00BE2028"/>
    <w:rsid w:val="00BE26B9"/>
    <w:rsid w:val="00BE3878"/>
    <w:rsid w:val="00BE769F"/>
    <w:rsid w:val="00BF3457"/>
    <w:rsid w:val="00BF3B59"/>
    <w:rsid w:val="00BF5C2E"/>
    <w:rsid w:val="00C0102E"/>
    <w:rsid w:val="00C01318"/>
    <w:rsid w:val="00C12323"/>
    <w:rsid w:val="00C15373"/>
    <w:rsid w:val="00C17805"/>
    <w:rsid w:val="00C2054D"/>
    <w:rsid w:val="00C32E1B"/>
    <w:rsid w:val="00C36ED2"/>
    <w:rsid w:val="00C413EE"/>
    <w:rsid w:val="00C434A1"/>
    <w:rsid w:val="00C446BF"/>
    <w:rsid w:val="00C45F43"/>
    <w:rsid w:val="00C51509"/>
    <w:rsid w:val="00C54633"/>
    <w:rsid w:val="00C5672A"/>
    <w:rsid w:val="00C60AD0"/>
    <w:rsid w:val="00C61DFA"/>
    <w:rsid w:val="00C6286F"/>
    <w:rsid w:val="00C6301A"/>
    <w:rsid w:val="00C63147"/>
    <w:rsid w:val="00C650A9"/>
    <w:rsid w:val="00C70CFE"/>
    <w:rsid w:val="00C7295A"/>
    <w:rsid w:val="00C77DE9"/>
    <w:rsid w:val="00C8282D"/>
    <w:rsid w:val="00C85D3D"/>
    <w:rsid w:val="00C90F8F"/>
    <w:rsid w:val="00CA3538"/>
    <w:rsid w:val="00CA3E3D"/>
    <w:rsid w:val="00CA7BE5"/>
    <w:rsid w:val="00CB32F6"/>
    <w:rsid w:val="00CC3672"/>
    <w:rsid w:val="00CC3708"/>
    <w:rsid w:val="00CC3C7A"/>
    <w:rsid w:val="00CC62CC"/>
    <w:rsid w:val="00CD2FE1"/>
    <w:rsid w:val="00CD544D"/>
    <w:rsid w:val="00CD7933"/>
    <w:rsid w:val="00CE0F53"/>
    <w:rsid w:val="00CF4A7D"/>
    <w:rsid w:val="00D010B1"/>
    <w:rsid w:val="00D05DBF"/>
    <w:rsid w:val="00D075BD"/>
    <w:rsid w:val="00D14C6E"/>
    <w:rsid w:val="00D21FD8"/>
    <w:rsid w:val="00D2628C"/>
    <w:rsid w:val="00D31852"/>
    <w:rsid w:val="00D31D03"/>
    <w:rsid w:val="00D31FC7"/>
    <w:rsid w:val="00D33E85"/>
    <w:rsid w:val="00D41B1D"/>
    <w:rsid w:val="00D431AD"/>
    <w:rsid w:val="00D438AC"/>
    <w:rsid w:val="00D50DD9"/>
    <w:rsid w:val="00D51432"/>
    <w:rsid w:val="00D6302A"/>
    <w:rsid w:val="00D63327"/>
    <w:rsid w:val="00D74B76"/>
    <w:rsid w:val="00D85458"/>
    <w:rsid w:val="00D85E29"/>
    <w:rsid w:val="00D8A131"/>
    <w:rsid w:val="00D90770"/>
    <w:rsid w:val="00D91518"/>
    <w:rsid w:val="00D91F59"/>
    <w:rsid w:val="00D93219"/>
    <w:rsid w:val="00D964BC"/>
    <w:rsid w:val="00DA1E76"/>
    <w:rsid w:val="00DA3F01"/>
    <w:rsid w:val="00DB2FE5"/>
    <w:rsid w:val="00DC54E0"/>
    <w:rsid w:val="00DC76DF"/>
    <w:rsid w:val="00DC7E9C"/>
    <w:rsid w:val="00DD0C53"/>
    <w:rsid w:val="00DD2D1F"/>
    <w:rsid w:val="00DD6054"/>
    <w:rsid w:val="00DD68B6"/>
    <w:rsid w:val="00DE73A3"/>
    <w:rsid w:val="00DF009A"/>
    <w:rsid w:val="00DF16FF"/>
    <w:rsid w:val="00E02D1E"/>
    <w:rsid w:val="00E06A6F"/>
    <w:rsid w:val="00E07B60"/>
    <w:rsid w:val="00E07B69"/>
    <w:rsid w:val="00E11C2F"/>
    <w:rsid w:val="00E21CC2"/>
    <w:rsid w:val="00E22154"/>
    <w:rsid w:val="00E26E7E"/>
    <w:rsid w:val="00E308BA"/>
    <w:rsid w:val="00E31FE8"/>
    <w:rsid w:val="00E334EB"/>
    <w:rsid w:val="00E36294"/>
    <w:rsid w:val="00E4029D"/>
    <w:rsid w:val="00E43761"/>
    <w:rsid w:val="00E53974"/>
    <w:rsid w:val="00E54F7C"/>
    <w:rsid w:val="00E62F62"/>
    <w:rsid w:val="00E66EBF"/>
    <w:rsid w:val="00E70ED3"/>
    <w:rsid w:val="00E721E5"/>
    <w:rsid w:val="00E7378A"/>
    <w:rsid w:val="00E7463C"/>
    <w:rsid w:val="00E760BA"/>
    <w:rsid w:val="00E84CB2"/>
    <w:rsid w:val="00E85D4F"/>
    <w:rsid w:val="00E85F7F"/>
    <w:rsid w:val="00E9228C"/>
    <w:rsid w:val="00E97F2E"/>
    <w:rsid w:val="00EA7720"/>
    <w:rsid w:val="00EB288E"/>
    <w:rsid w:val="00EB4B77"/>
    <w:rsid w:val="00EB63EE"/>
    <w:rsid w:val="00EC0E6C"/>
    <w:rsid w:val="00EC3A64"/>
    <w:rsid w:val="00EC43A2"/>
    <w:rsid w:val="00EC69AC"/>
    <w:rsid w:val="00EC6B36"/>
    <w:rsid w:val="00ED681B"/>
    <w:rsid w:val="00EE1B02"/>
    <w:rsid w:val="00EE4B92"/>
    <w:rsid w:val="00EE6BBB"/>
    <w:rsid w:val="00EF0BCF"/>
    <w:rsid w:val="00EF1489"/>
    <w:rsid w:val="00EF14B4"/>
    <w:rsid w:val="00EF638D"/>
    <w:rsid w:val="00F00AC2"/>
    <w:rsid w:val="00F01C14"/>
    <w:rsid w:val="00F03512"/>
    <w:rsid w:val="00F12E73"/>
    <w:rsid w:val="00F222F4"/>
    <w:rsid w:val="00F22E89"/>
    <w:rsid w:val="00F2315D"/>
    <w:rsid w:val="00F25F4A"/>
    <w:rsid w:val="00F27345"/>
    <w:rsid w:val="00F27511"/>
    <w:rsid w:val="00F277DF"/>
    <w:rsid w:val="00F36C78"/>
    <w:rsid w:val="00F452A0"/>
    <w:rsid w:val="00F542D4"/>
    <w:rsid w:val="00F55A02"/>
    <w:rsid w:val="00F56BBA"/>
    <w:rsid w:val="00F63FCD"/>
    <w:rsid w:val="00F6440C"/>
    <w:rsid w:val="00F66B5A"/>
    <w:rsid w:val="00F671E8"/>
    <w:rsid w:val="00F678CE"/>
    <w:rsid w:val="00F71157"/>
    <w:rsid w:val="00F72140"/>
    <w:rsid w:val="00F774D6"/>
    <w:rsid w:val="00F84DEB"/>
    <w:rsid w:val="00F85B7D"/>
    <w:rsid w:val="00F87340"/>
    <w:rsid w:val="00F95811"/>
    <w:rsid w:val="00FA5317"/>
    <w:rsid w:val="00FA6CFC"/>
    <w:rsid w:val="00FB15A0"/>
    <w:rsid w:val="00FB2E36"/>
    <w:rsid w:val="00FC1910"/>
    <w:rsid w:val="00FC2F38"/>
    <w:rsid w:val="00FC3BD4"/>
    <w:rsid w:val="00FC7119"/>
    <w:rsid w:val="00FD0A5D"/>
    <w:rsid w:val="00FD64FE"/>
    <w:rsid w:val="00FE3AA3"/>
    <w:rsid w:val="00FE3E0C"/>
    <w:rsid w:val="00FF1B50"/>
    <w:rsid w:val="00FF253D"/>
    <w:rsid w:val="00FF5B45"/>
    <w:rsid w:val="00FF5D6D"/>
    <w:rsid w:val="01764F17"/>
    <w:rsid w:val="01AC9AE5"/>
    <w:rsid w:val="01B3B38A"/>
    <w:rsid w:val="02199728"/>
    <w:rsid w:val="0235550D"/>
    <w:rsid w:val="02657E83"/>
    <w:rsid w:val="027C172A"/>
    <w:rsid w:val="03ACEF84"/>
    <w:rsid w:val="03CDF86E"/>
    <w:rsid w:val="03D9E9DE"/>
    <w:rsid w:val="03F64BE5"/>
    <w:rsid w:val="04CDD5D1"/>
    <w:rsid w:val="04EDBCC4"/>
    <w:rsid w:val="0528CDEF"/>
    <w:rsid w:val="06898D25"/>
    <w:rsid w:val="069018EA"/>
    <w:rsid w:val="06DBCD74"/>
    <w:rsid w:val="07109665"/>
    <w:rsid w:val="074FE78A"/>
    <w:rsid w:val="077D1D47"/>
    <w:rsid w:val="081C0F3A"/>
    <w:rsid w:val="08C8D76D"/>
    <w:rsid w:val="0906E888"/>
    <w:rsid w:val="095BEB5E"/>
    <w:rsid w:val="0A49BA04"/>
    <w:rsid w:val="0AA6AA60"/>
    <w:rsid w:val="0AE31C51"/>
    <w:rsid w:val="0AF8EAAF"/>
    <w:rsid w:val="0B315D7F"/>
    <w:rsid w:val="0B8A2DA0"/>
    <w:rsid w:val="0C29B70B"/>
    <w:rsid w:val="0CF73B12"/>
    <w:rsid w:val="0D507C87"/>
    <w:rsid w:val="0D8BD707"/>
    <w:rsid w:val="0DEDF262"/>
    <w:rsid w:val="0E13AAE7"/>
    <w:rsid w:val="0E525323"/>
    <w:rsid w:val="0EEE9A0E"/>
    <w:rsid w:val="0F10466E"/>
    <w:rsid w:val="0F14D8FA"/>
    <w:rsid w:val="0F8FB710"/>
    <w:rsid w:val="0FEF350E"/>
    <w:rsid w:val="10655978"/>
    <w:rsid w:val="114561D0"/>
    <w:rsid w:val="1153BF96"/>
    <w:rsid w:val="1187160C"/>
    <w:rsid w:val="11DA2C1C"/>
    <w:rsid w:val="126F3CE2"/>
    <w:rsid w:val="129AF1C8"/>
    <w:rsid w:val="12AB3080"/>
    <w:rsid w:val="137E9886"/>
    <w:rsid w:val="147495DB"/>
    <w:rsid w:val="15115CBF"/>
    <w:rsid w:val="1573DBC6"/>
    <w:rsid w:val="15D09951"/>
    <w:rsid w:val="15D1639A"/>
    <w:rsid w:val="16289C17"/>
    <w:rsid w:val="16605A60"/>
    <w:rsid w:val="16EA695A"/>
    <w:rsid w:val="173E0B6A"/>
    <w:rsid w:val="181C31D5"/>
    <w:rsid w:val="1880DCE6"/>
    <w:rsid w:val="190770C5"/>
    <w:rsid w:val="194838D4"/>
    <w:rsid w:val="194A3CA5"/>
    <w:rsid w:val="1969EFCC"/>
    <w:rsid w:val="19FCC74F"/>
    <w:rsid w:val="1AB5DCC3"/>
    <w:rsid w:val="1ADC8BE9"/>
    <w:rsid w:val="1AF58175"/>
    <w:rsid w:val="1B6EA9DD"/>
    <w:rsid w:val="1CBA5444"/>
    <w:rsid w:val="1CC07A67"/>
    <w:rsid w:val="1CC8CC94"/>
    <w:rsid w:val="1D3C549C"/>
    <w:rsid w:val="1D5E80F5"/>
    <w:rsid w:val="1D7D7FF6"/>
    <w:rsid w:val="1DA3FEA2"/>
    <w:rsid w:val="1E58CFAD"/>
    <w:rsid w:val="1E59E27B"/>
    <w:rsid w:val="1EEF3821"/>
    <w:rsid w:val="21548B38"/>
    <w:rsid w:val="2257FF2E"/>
    <w:rsid w:val="22B2575A"/>
    <w:rsid w:val="22C6B2B0"/>
    <w:rsid w:val="235EB2A6"/>
    <w:rsid w:val="24740A7A"/>
    <w:rsid w:val="24AFC9A1"/>
    <w:rsid w:val="24FF7B35"/>
    <w:rsid w:val="25981339"/>
    <w:rsid w:val="263D2C4A"/>
    <w:rsid w:val="2666F806"/>
    <w:rsid w:val="26E60401"/>
    <w:rsid w:val="274E83DA"/>
    <w:rsid w:val="276997F0"/>
    <w:rsid w:val="27D92D04"/>
    <w:rsid w:val="2820B444"/>
    <w:rsid w:val="282FC5E9"/>
    <w:rsid w:val="28C1D323"/>
    <w:rsid w:val="28C30213"/>
    <w:rsid w:val="29527E9C"/>
    <w:rsid w:val="2A05A0BE"/>
    <w:rsid w:val="2B0E1CCB"/>
    <w:rsid w:val="2B9249D8"/>
    <w:rsid w:val="2BACF512"/>
    <w:rsid w:val="2BB133B1"/>
    <w:rsid w:val="2C0D1734"/>
    <w:rsid w:val="2C536EE9"/>
    <w:rsid w:val="2C5540C9"/>
    <w:rsid w:val="2C98FD50"/>
    <w:rsid w:val="2CFB7C57"/>
    <w:rsid w:val="2D247EC5"/>
    <w:rsid w:val="2D25EA23"/>
    <w:rsid w:val="2D2DE863"/>
    <w:rsid w:val="2DAE19C2"/>
    <w:rsid w:val="2DBD64EC"/>
    <w:rsid w:val="2DEFA3F1"/>
    <w:rsid w:val="2EAEAEAD"/>
    <w:rsid w:val="2EBCA13A"/>
    <w:rsid w:val="2EE5C4C4"/>
    <w:rsid w:val="2EE99EBC"/>
    <w:rsid w:val="2F92978F"/>
    <w:rsid w:val="2FC321E1"/>
    <w:rsid w:val="3088B862"/>
    <w:rsid w:val="308B873E"/>
    <w:rsid w:val="30F6B0C4"/>
    <w:rsid w:val="321DFCFE"/>
    <w:rsid w:val="32EC4958"/>
    <w:rsid w:val="334AA60D"/>
    <w:rsid w:val="335CF6AF"/>
    <w:rsid w:val="33D85196"/>
    <w:rsid w:val="33F2B37B"/>
    <w:rsid w:val="34761F41"/>
    <w:rsid w:val="34B31EFD"/>
    <w:rsid w:val="3596975C"/>
    <w:rsid w:val="35F2E3AC"/>
    <w:rsid w:val="368770D3"/>
    <w:rsid w:val="3699114C"/>
    <w:rsid w:val="36E097F1"/>
    <w:rsid w:val="3714EA86"/>
    <w:rsid w:val="371C96DE"/>
    <w:rsid w:val="37B473F1"/>
    <w:rsid w:val="37D3909B"/>
    <w:rsid w:val="386D25B9"/>
    <w:rsid w:val="3A0B9068"/>
    <w:rsid w:val="3A612AB6"/>
    <w:rsid w:val="3A87252D"/>
    <w:rsid w:val="3ACD907C"/>
    <w:rsid w:val="3BD5F1E2"/>
    <w:rsid w:val="3BEDB979"/>
    <w:rsid w:val="3C5557EC"/>
    <w:rsid w:val="3CCB7B3D"/>
    <w:rsid w:val="3E469B5D"/>
    <w:rsid w:val="3E50B2F7"/>
    <w:rsid w:val="3F7A0924"/>
    <w:rsid w:val="3F8A9BC9"/>
    <w:rsid w:val="3FA75A93"/>
    <w:rsid w:val="3FD35BF6"/>
    <w:rsid w:val="405FD98A"/>
    <w:rsid w:val="4098BFA6"/>
    <w:rsid w:val="40CAAABE"/>
    <w:rsid w:val="4150D9F6"/>
    <w:rsid w:val="41951756"/>
    <w:rsid w:val="4196685D"/>
    <w:rsid w:val="4236EC30"/>
    <w:rsid w:val="42A8180F"/>
    <w:rsid w:val="4483E731"/>
    <w:rsid w:val="4562123B"/>
    <w:rsid w:val="45E59347"/>
    <w:rsid w:val="469A3812"/>
    <w:rsid w:val="47A86598"/>
    <w:rsid w:val="4824F861"/>
    <w:rsid w:val="48EA2940"/>
    <w:rsid w:val="4921DC58"/>
    <w:rsid w:val="4928C73B"/>
    <w:rsid w:val="49EA4983"/>
    <w:rsid w:val="4A38B180"/>
    <w:rsid w:val="4B14D515"/>
    <w:rsid w:val="4B441D5B"/>
    <w:rsid w:val="4B5CFDCA"/>
    <w:rsid w:val="4B81DBF0"/>
    <w:rsid w:val="4BFBEFBD"/>
    <w:rsid w:val="4C7F51D6"/>
    <w:rsid w:val="4CD422D6"/>
    <w:rsid w:val="4D21FDD5"/>
    <w:rsid w:val="4D78DAB8"/>
    <w:rsid w:val="4DD60743"/>
    <w:rsid w:val="4E22AA1B"/>
    <w:rsid w:val="4E40FC7C"/>
    <w:rsid w:val="4EFD94C8"/>
    <w:rsid w:val="50534A3D"/>
    <w:rsid w:val="506E5DF1"/>
    <w:rsid w:val="50D5552D"/>
    <w:rsid w:val="515BF859"/>
    <w:rsid w:val="52806827"/>
    <w:rsid w:val="54835BD0"/>
    <w:rsid w:val="54CC4436"/>
    <w:rsid w:val="552D1454"/>
    <w:rsid w:val="55451C63"/>
    <w:rsid w:val="557DF3DD"/>
    <w:rsid w:val="55806D0F"/>
    <w:rsid w:val="56055205"/>
    <w:rsid w:val="5678A73C"/>
    <w:rsid w:val="56858BF5"/>
    <w:rsid w:val="56A30A70"/>
    <w:rsid w:val="5711D7B3"/>
    <w:rsid w:val="57163869"/>
    <w:rsid w:val="5772993D"/>
    <w:rsid w:val="57A8BB04"/>
    <w:rsid w:val="584FFF24"/>
    <w:rsid w:val="58C2DEFA"/>
    <w:rsid w:val="59D986DA"/>
    <w:rsid w:val="5A249A4F"/>
    <w:rsid w:val="5A7A1D1E"/>
    <w:rsid w:val="5A8DD7EC"/>
    <w:rsid w:val="5AD89057"/>
    <w:rsid w:val="5B2B681E"/>
    <w:rsid w:val="5B8922C3"/>
    <w:rsid w:val="5B8DF8DA"/>
    <w:rsid w:val="5BFCE569"/>
    <w:rsid w:val="5CB19CF2"/>
    <w:rsid w:val="5CC9965F"/>
    <w:rsid w:val="5D3C79BB"/>
    <w:rsid w:val="5D7D5A91"/>
    <w:rsid w:val="5D7E8981"/>
    <w:rsid w:val="5E034C60"/>
    <w:rsid w:val="5E0F99A1"/>
    <w:rsid w:val="5E103CD3"/>
    <w:rsid w:val="5EB3DDD1"/>
    <w:rsid w:val="5ECB3FC6"/>
    <w:rsid w:val="5F0B2803"/>
    <w:rsid w:val="5F129F2D"/>
    <w:rsid w:val="5F1D8110"/>
    <w:rsid w:val="5F494FA2"/>
    <w:rsid w:val="5FD31C05"/>
    <w:rsid w:val="6017057F"/>
    <w:rsid w:val="607BE266"/>
    <w:rsid w:val="60E6301D"/>
    <w:rsid w:val="610E2176"/>
    <w:rsid w:val="6117AD2B"/>
    <w:rsid w:val="618BEB83"/>
    <w:rsid w:val="61FF00C6"/>
    <w:rsid w:val="62BA6F10"/>
    <w:rsid w:val="63B08DD0"/>
    <w:rsid w:val="63C2C5C1"/>
    <w:rsid w:val="63EAD5AD"/>
    <w:rsid w:val="642B073F"/>
    <w:rsid w:val="649A0D02"/>
    <w:rsid w:val="674BAED4"/>
    <w:rsid w:val="67AA607C"/>
    <w:rsid w:val="67DC5A81"/>
    <w:rsid w:val="682D6886"/>
    <w:rsid w:val="68DBADCC"/>
    <w:rsid w:val="68DBF721"/>
    <w:rsid w:val="6923885E"/>
    <w:rsid w:val="69FBBB77"/>
    <w:rsid w:val="6BDE7B05"/>
    <w:rsid w:val="6C34EA34"/>
    <w:rsid w:val="6CDB5961"/>
    <w:rsid w:val="6CF2C600"/>
    <w:rsid w:val="6D37BCEF"/>
    <w:rsid w:val="6E03C7DE"/>
    <w:rsid w:val="6E484F66"/>
    <w:rsid w:val="6E6BE34A"/>
    <w:rsid w:val="6E7FBA35"/>
    <w:rsid w:val="6E99139D"/>
    <w:rsid w:val="6E9DE9B4"/>
    <w:rsid w:val="6EBE2399"/>
    <w:rsid w:val="6EC26333"/>
    <w:rsid w:val="6EE6C065"/>
    <w:rsid w:val="70D932C6"/>
    <w:rsid w:val="70EA3ACC"/>
    <w:rsid w:val="7149EEDE"/>
    <w:rsid w:val="718D82DD"/>
    <w:rsid w:val="72696FF5"/>
    <w:rsid w:val="738514AA"/>
    <w:rsid w:val="73897560"/>
    <w:rsid w:val="7499A330"/>
    <w:rsid w:val="74D798F9"/>
    <w:rsid w:val="75009A6C"/>
    <w:rsid w:val="762E3F9A"/>
    <w:rsid w:val="763D647F"/>
    <w:rsid w:val="776F8E39"/>
    <w:rsid w:val="782FB72B"/>
    <w:rsid w:val="783261D5"/>
    <w:rsid w:val="791D5300"/>
    <w:rsid w:val="795F754D"/>
    <w:rsid w:val="79CABD43"/>
    <w:rsid w:val="79D8AFD0"/>
    <w:rsid w:val="7A1D950A"/>
    <w:rsid w:val="7A230394"/>
    <w:rsid w:val="7A63EDBA"/>
    <w:rsid w:val="7B028FCD"/>
    <w:rsid w:val="7B0906CB"/>
    <w:rsid w:val="7F83E9EF"/>
    <w:rsid w:val="7FC23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A612F"/>
  <w14:defaultImageDpi w14:val="330"/>
  <w15:docId w15:val="{F6B83CB4-487A-43A8-A616-41BC4AFF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basedOn w:val="Subhead"/>
    <w:next w:val="Normal"/>
    <w:link w:val="Heading1Char"/>
    <w:autoRedefine/>
    <w:uiPriority w:val="9"/>
    <w:qFormat/>
    <w:rsid w:val="00F452A0"/>
    <w:pPr>
      <w:ind w:right="2880"/>
      <w:outlineLvl w:val="0"/>
    </w:pPr>
  </w:style>
  <w:style w:type="paragraph" w:styleId="Heading2">
    <w:name w:val="heading 2"/>
    <w:basedOn w:val="Normal"/>
    <w:next w:val="Normal"/>
    <w:link w:val="Heading2Char"/>
    <w:uiPriority w:val="9"/>
    <w:unhideWhenUsed/>
    <w:qFormat/>
    <w:rsid w:val="00BE17AC"/>
    <w:pPr>
      <w:keepNext/>
      <w:keepLines/>
      <w:spacing w:before="200"/>
      <w:outlineLvl w:val="1"/>
    </w:pPr>
    <w:rPr>
      <w:rFonts w:ascii="Trebuchet MS" w:hAnsi="Trebuchet MS"/>
      <w:b/>
      <w:bCs/>
      <w:sz w:val="24"/>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00ED"/>
    <w:pPr>
      <w:spacing w:before="240" w:after="240"/>
      <w:ind w:right="2880"/>
    </w:pPr>
    <w:rPr>
      <w:rFonts w:ascii="Museo Slab 500" w:hAnsi="Museo Slab 500"/>
      <w:b/>
      <w:bCs/>
      <w:color w:val="5C6670"/>
      <w:sz w:val="40"/>
      <w:szCs w:val="36"/>
    </w:rPr>
  </w:style>
  <w:style w:type="character" w:customStyle="1" w:styleId="TitleChar">
    <w:name w:val="Title Char"/>
    <w:link w:val="Title"/>
    <w:rsid w:val="008400ED"/>
    <w:rPr>
      <w:rFonts w:ascii="Museo Slab 500" w:hAnsi="Museo Slab 500"/>
      <w:b/>
      <w:bCs/>
      <w:color w:val="5C6670"/>
      <w:sz w:val="40"/>
      <w:szCs w:val="36"/>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A3F01"/>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pPr>
    <w:rPr>
      <w:b w:val="0"/>
      <w:sz w:val="36"/>
      <w:szCs w:val="36"/>
    </w:rPr>
  </w:style>
  <w:style w:type="character" w:customStyle="1" w:styleId="Heading1Char">
    <w:name w:val="Heading 1 Char"/>
    <w:link w:val="Heading1"/>
    <w:uiPriority w:val="9"/>
    <w:rsid w:val="00F452A0"/>
    <w:rPr>
      <w:rFonts w:ascii="Trebuchet MS" w:hAnsi="Trebuchet MS"/>
      <w:b/>
      <w:sz w:val="24"/>
      <w:szCs w:val="24"/>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BE17AC"/>
    <w:rPr>
      <w:rFonts w:ascii="Trebuchet MS" w:hAnsi="Trebuchet MS"/>
      <w:b/>
      <w:bCs/>
      <w:sz w:val="24"/>
      <w:szCs w:val="24"/>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3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p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spacing w:before="480" w:after="0"/>
      <w:outlineLvl w:val="9"/>
    </w:pPr>
    <w:rPr>
      <w:rFonts w:ascii="Calibri" w:hAnsi="Calibri"/>
      <w:b w:val="0"/>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UnresolvedMention">
    <w:name w:val="Unresolved Mention"/>
    <w:basedOn w:val="DefaultParagraphFont"/>
    <w:uiPriority w:val="99"/>
    <w:semiHidden/>
    <w:unhideWhenUsed/>
    <w:rsid w:val="00D91F59"/>
    <w:rPr>
      <w:color w:val="605E5C"/>
      <w:shd w:val="clear" w:color="auto" w:fill="E1DFDD"/>
    </w:rPr>
  </w:style>
  <w:style w:type="character" w:styleId="CommentReference">
    <w:name w:val="annotation reference"/>
    <w:basedOn w:val="DefaultParagraphFont"/>
    <w:uiPriority w:val="99"/>
    <w:semiHidden/>
    <w:unhideWhenUsed/>
    <w:rsid w:val="00870E97"/>
    <w:rPr>
      <w:sz w:val="16"/>
      <w:szCs w:val="16"/>
    </w:rPr>
  </w:style>
  <w:style w:type="paragraph" w:styleId="CommentText">
    <w:name w:val="annotation text"/>
    <w:basedOn w:val="Normal"/>
    <w:link w:val="CommentTextChar"/>
    <w:uiPriority w:val="99"/>
    <w:unhideWhenUsed/>
    <w:rsid w:val="00870E97"/>
    <w:rPr>
      <w:sz w:val="20"/>
      <w:szCs w:val="20"/>
    </w:rPr>
  </w:style>
  <w:style w:type="character" w:customStyle="1" w:styleId="CommentTextChar">
    <w:name w:val="Comment Text Char"/>
    <w:basedOn w:val="DefaultParagraphFont"/>
    <w:link w:val="CommentText"/>
    <w:uiPriority w:val="99"/>
    <w:rsid w:val="00870E97"/>
  </w:style>
  <w:style w:type="paragraph" w:styleId="CommentSubject">
    <w:name w:val="annotation subject"/>
    <w:basedOn w:val="CommentText"/>
    <w:next w:val="CommentText"/>
    <w:link w:val="CommentSubjectChar"/>
    <w:uiPriority w:val="99"/>
    <w:semiHidden/>
    <w:unhideWhenUsed/>
    <w:rsid w:val="00870E97"/>
    <w:rPr>
      <w:b/>
      <w:bCs/>
    </w:rPr>
  </w:style>
  <w:style w:type="character" w:customStyle="1" w:styleId="CommentSubjectChar">
    <w:name w:val="Comment Subject Char"/>
    <w:basedOn w:val="CommentTextChar"/>
    <w:link w:val="CommentSubject"/>
    <w:uiPriority w:val="99"/>
    <w:semiHidden/>
    <w:rsid w:val="00870E97"/>
    <w:rPr>
      <w:b/>
      <w:bCs/>
    </w:rPr>
  </w:style>
  <w:style w:type="character" w:styleId="Mention">
    <w:name w:val="Mention"/>
    <w:basedOn w:val="DefaultParagraphFont"/>
    <w:uiPriority w:val="99"/>
    <w:unhideWhenUsed/>
    <w:rsid w:val="00870E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yperlink" Target="https://www.cde.state.co.us/cdereval/gradratecurrent" TargetMode="External"/><Relationship Id="rId2" Type="http://schemas.openxmlformats.org/officeDocument/2006/relationships/customXml" Target="../customXml/item2.xml"/><Relationship Id="rId16" Type="http://schemas.openxmlformats.org/officeDocument/2006/relationships/hyperlink" Target="https://www.cde.state.co.us/dropoutprevention/dp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yperlink" Target="https://www.cde.state.co.us/dropoutprevention/attendance"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cde.state.co.us/cdereval/dropoutcurrent" TargetMode="External"/><Relationship Id="rId2" Type="http://schemas.openxmlformats.org/officeDocument/2006/relationships/hyperlink" Target="https://www.cde.state.co.us/dropoutprevention" TargetMode="External"/><Relationship Id="rId1" Type="http://schemas.openxmlformats.org/officeDocument/2006/relationships/image" Target="media/image2.png"/><Relationship Id="rId5" Type="http://schemas.openxmlformats.org/officeDocument/2006/relationships/hyperlink" Target="https://www.cde.state.co.us/cdereval/dropoutcurrent" TargetMode="External"/><Relationship Id="rId4" Type="http://schemas.openxmlformats.org/officeDocument/2006/relationships/hyperlink" Target="https://www.cde.state.co.us/dropoutpreventio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Colorado</a:t>
            </a:r>
            <a:r>
              <a:rPr lang="en-US" sz="1200" b="1" baseline="0">
                <a:solidFill>
                  <a:sysClr val="windowText" lastClr="000000"/>
                </a:solidFill>
              </a:rPr>
              <a:t> Dropout Rate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State Dropout Rate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0.0%</c:formatCode>
                <c:ptCount val="7"/>
                <c:pt idx="0">
                  <c:v>2.3E-2</c:v>
                </c:pt>
                <c:pt idx="1">
                  <c:v>2.1999999999999999E-2</c:v>
                </c:pt>
                <c:pt idx="2">
                  <c:v>0.02</c:v>
                </c:pt>
                <c:pt idx="3">
                  <c:v>1.7999999999999999E-2</c:v>
                </c:pt>
                <c:pt idx="4">
                  <c:v>1.7999999999999999E-2</c:v>
                </c:pt>
                <c:pt idx="5">
                  <c:v>2.1999999999999999E-2</c:v>
                </c:pt>
                <c:pt idx="6">
                  <c:v>2.1000000000000001E-2</c:v>
                </c:pt>
              </c:numCache>
            </c:numRef>
          </c:val>
          <c:smooth val="0"/>
          <c:extLst>
            <c:ext xmlns:c16="http://schemas.microsoft.com/office/drawing/2014/chart" uri="{C3380CC4-5D6E-409C-BE32-E72D297353CC}">
              <c16:uniqueId val="{00000000-04A1-4FA5-BC0C-AD9A69A2A468}"/>
            </c:ext>
          </c:extLst>
        </c:ser>
        <c:dLbls>
          <c:dLblPos val="t"/>
          <c:showLegendKey val="0"/>
          <c:showVal val="1"/>
          <c:showCatName val="0"/>
          <c:showSerName val="0"/>
          <c:showPercent val="0"/>
          <c:showBubbleSize val="0"/>
        </c:dLbls>
        <c:marker val="1"/>
        <c:smooth val="0"/>
        <c:axId val="1113938287"/>
        <c:axId val="1556337727"/>
      </c:lineChart>
      <c:catAx>
        <c:axId val="11139382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6337727"/>
        <c:crosses val="autoZero"/>
        <c:auto val="1"/>
        <c:lblAlgn val="ctr"/>
        <c:lblOffset val="100"/>
        <c:noMultiLvlLbl val="0"/>
      </c:catAx>
      <c:valAx>
        <c:axId val="1556337727"/>
        <c:scaling>
          <c:orientation val="minMax"/>
          <c:max val="2.5000000000000005E-2"/>
          <c:min val="1.5000000000000003E-2"/>
        </c:scaling>
        <c:delete val="1"/>
        <c:axPos val="l"/>
        <c:numFmt formatCode="0.0%" sourceLinked="1"/>
        <c:majorTickMark val="out"/>
        <c:minorTickMark val="none"/>
        <c:tickLblPos val="nextTo"/>
        <c:crossAx val="1113938287"/>
        <c:crosses val="autoZero"/>
        <c:crossBetween val="between"/>
        <c:majorUnit val="5.000000000000001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Dropout Rates by Race/Ethnicity</a:t>
            </a:r>
          </a:p>
        </c:rich>
      </c:tx>
      <c:layout>
        <c:manualLayout>
          <c:xMode val="edge"/>
          <c:yMode val="edge"/>
          <c:x val="0.2122037664999903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103847857431394"/>
          <c:y val="0.11224663555781428"/>
          <c:w val="0.85647953096771978"/>
          <c:h val="0.62966243536577637"/>
        </c:manualLayout>
      </c:layout>
      <c:lineChart>
        <c:grouping val="standard"/>
        <c:varyColors val="0"/>
        <c:ser>
          <c:idx val="0"/>
          <c:order val="0"/>
          <c:tx>
            <c:strRef>
              <c:f>Sheet1!$B$1</c:f>
              <c:strCache>
                <c:ptCount val="1"/>
                <c:pt idx="0">
                  <c:v>State</c:v>
                </c:pt>
              </c:strCache>
            </c:strRef>
          </c:tx>
          <c:spPr>
            <a:ln w="28575" cap="rnd">
              <a:solidFill>
                <a:schemeClr val="tx2">
                  <a:lumMod val="60000"/>
                  <a:lumOff val="40000"/>
                </a:schemeClr>
              </a:solidFill>
              <a:round/>
            </a:ln>
            <a:effectLst/>
          </c:spPr>
          <c:marker>
            <c:symbol val="circle"/>
            <c:size val="5"/>
            <c:spPr>
              <a:solidFill>
                <a:schemeClr val="tx2">
                  <a:lumMod val="60000"/>
                  <a:lumOff val="40000"/>
                </a:schemeClr>
              </a:solidFill>
              <a:ln w="9525">
                <a:noFill/>
              </a:ln>
              <a:effectLst/>
            </c:spPr>
          </c:marker>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0.0%</c:formatCode>
                <c:ptCount val="7"/>
                <c:pt idx="0">
                  <c:v>2.3E-2</c:v>
                </c:pt>
                <c:pt idx="1">
                  <c:v>2.1999999999999999E-2</c:v>
                </c:pt>
                <c:pt idx="2">
                  <c:v>0.02</c:v>
                </c:pt>
                <c:pt idx="3">
                  <c:v>1.7999999999999999E-2</c:v>
                </c:pt>
                <c:pt idx="4">
                  <c:v>1.7999999999999999E-2</c:v>
                </c:pt>
                <c:pt idx="5">
                  <c:v>2.1999999999999999E-2</c:v>
                </c:pt>
                <c:pt idx="6">
                  <c:v>2.1000000000000001E-2</c:v>
                </c:pt>
              </c:numCache>
            </c:numRef>
          </c:val>
          <c:smooth val="0"/>
          <c:extLst>
            <c:ext xmlns:c16="http://schemas.microsoft.com/office/drawing/2014/chart" uri="{C3380CC4-5D6E-409C-BE32-E72D297353CC}">
              <c16:uniqueId val="{00000000-AD40-4D81-8532-7F0B364CF059}"/>
            </c:ext>
          </c:extLst>
        </c:ser>
        <c:ser>
          <c:idx val="3"/>
          <c:order val="3"/>
          <c:tx>
            <c:strRef>
              <c:f>Sheet1!$E$1</c:f>
              <c:strCache>
                <c:ptCount val="1"/>
                <c:pt idx="0">
                  <c:v>Students of Color</c:v>
                </c:pt>
              </c:strCache>
            </c:strRef>
          </c:tx>
          <c:spPr>
            <a:ln w="28575" cap="rnd">
              <a:solidFill>
                <a:schemeClr val="accent1"/>
              </a:solidFill>
              <a:round/>
            </a:ln>
            <a:effectLst/>
          </c:spPr>
          <c:marker>
            <c:symbol val="circle"/>
            <c:size val="5"/>
            <c:spPr>
              <a:solidFill>
                <a:schemeClr val="accent1"/>
              </a:solidFill>
              <a:ln w="9525">
                <a:noFill/>
              </a:ln>
              <a:effectLst/>
            </c:spPr>
          </c:marker>
          <c:cat>
            <c:strRef>
              <c:f>Sheet1!$A$2:$A$8</c:f>
              <c:strCache>
                <c:ptCount val="7"/>
                <c:pt idx="0">
                  <c:v>2016-17</c:v>
                </c:pt>
                <c:pt idx="1">
                  <c:v>2017-18</c:v>
                </c:pt>
                <c:pt idx="2">
                  <c:v>2018-19</c:v>
                </c:pt>
                <c:pt idx="3">
                  <c:v>2019-20</c:v>
                </c:pt>
                <c:pt idx="4">
                  <c:v>2020-21</c:v>
                </c:pt>
                <c:pt idx="5">
                  <c:v>2021-22</c:v>
                </c:pt>
                <c:pt idx="6">
                  <c:v>2022-23</c:v>
                </c:pt>
              </c:strCache>
            </c:strRef>
          </c:cat>
          <c:val>
            <c:numRef>
              <c:f>Sheet1!$E$2:$E$8</c:f>
              <c:numCache>
                <c:formatCode>0.0%</c:formatCode>
                <c:ptCount val="7"/>
                <c:pt idx="0">
                  <c:v>3.2000000000000001E-2</c:v>
                </c:pt>
                <c:pt idx="1">
                  <c:v>3.1E-2</c:v>
                </c:pt>
                <c:pt idx="2">
                  <c:v>2.9000000000000001E-2</c:v>
                </c:pt>
                <c:pt idx="3">
                  <c:v>2.5999999999999999E-2</c:v>
                </c:pt>
                <c:pt idx="4">
                  <c:v>2.5000000000000001E-2</c:v>
                </c:pt>
                <c:pt idx="5">
                  <c:v>3.2000000000000001E-2</c:v>
                </c:pt>
                <c:pt idx="6">
                  <c:v>2.9000000000000001E-2</c:v>
                </c:pt>
              </c:numCache>
            </c:numRef>
          </c:val>
          <c:smooth val="0"/>
          <c:extLst>
            <c:ext xmlns:c16="http://schemas.microsoft.com/office/drawing/2014/chart" uri="{C3380CC4-5D6E-409C-BE32-E72D297353CC}">
              <c16:uniqueId val="{00000003-AD40-4D81-8532-7F0B364CF059}"/>
            </c:ext>
          </c:extLst>
        </c:ser>
        <c:ser>
          <c:idx val="6"/>
          <c:order val="6"/>
          <c:tx>
            <c:strRef>
              <c:f>Sheet1!$H$1</c:f>
              <c:strCache>
                <c:ptCount val="1"/>
                <c:pt idx="0">
                  <c:v>White Students</c:v>
                </c:pt>
              </c:strCache>
            </c:strRef>
          </c:tx>
          <c:spPr>
            <a:ln w="28575" cap="rnd">
              <a:solidFill>
                <a:schemeClr val="accent2"/>
              </a:solidFill>
              <a:round/>
            </a:ln>
            <a:effectLst/>
          </c:spPr>
          <c:marker>
            <c:symbol val="circle"/>
            <c:size val="5"/>
            <c:spPr>
              <a:solidFill>
                <a:schemeClr val="accent2"/>
              </a:solidFill>
              <a:ln w="9525">
                <a:noFill/>
              </a:ln>
              <a:effectLst/>
            </c:spPr>
          </c:marker>
          <c:cat>
            <c:strRef>
              <c:f>Sheet1!$A$2:$A$8</c:f>
              <c:strCache>
                <c:ptCount val="7"/>
                <c:pt idx="0">
                  <c:v>2016-17</c:v>
                </c:pt>
                <c:pt idx="1">
                  <c:v>2017-18</c:v>
                </c:pt>
                <c:pt idx="2">
                  <c:v>2018-19</c:v>
                </c:pt>
                <c:pt idx="3">
                  <c:v>2019-20</c:v>
                </c:pt>
                <c:pt idx="4">
                  <c:v>2020-21</c:v>
                </c:pt>
                <c:pt idx="5">
                  <c:v>2021-22</c:v>
                </c:pt>
                <c:pt idx="6">
                  <c:v>2022-23</c:v>
                </c:pt>
              </c:strCache>
            </c:strRef>
          </c:cat>
          <c:val>
            <c:numRef>
              <c:f>Sheet1!$H$2:$H$8</c:f>
              <c:numCache>
                <c:formatCode>0.0%</c:formatCode>
                <c:ptCount val="7"/>
                <c:pt idx="0">
                  <c:v>1.4999999999999999E-2</c:v>
                </c:pt>
                <c:pt idx="1">
                  <c:v>1.4E-2</c:v>
                </c:pt>
                <c:pt idx="2">
                  <c:v>1.2E-2</c:v>
                </c:pt>
                <c:pt idx="3">
                  <c:v>1.0999999999999999E-2</c:v>
                </c:pt>
                <c:pt idx="4">
                  <c:v>1.0999999999999999E-2</c:v>
                </c:pt>
                <c:pt idx="5">
                  <c:v>1.2999999999999999E-2</c:v>
                </c:pt>
                <c:pt idx="6">
                  <c:v>1.2E-2</c:v>
                </c:pt>
              </c:numCache>
            </c:numRef>
          </c:val>
          <c:smooth val="0"/>
          <c:extLst>
            <c:ext xmlns:c16="http://schemas.microsoft.com/office/drawing/2014/chart" uri="{C3380CC4-5D6E-409C-BE32-E72D297353CC}">
              <c16:uniqueId val="{00000006-AD40-4D81-8532-7F0B364CF059}"/>
            </c:ext>
          </c:extLst>
        </c:ser>
        <c:dLbls>
          <c:showLegendKey val="0"/>
          <c:showVal val="0"/>
          <c:showCatName val="0"/>
          <c:showSerName val="0"/>
          <c:showPercent val="0"/>
          <c:showBubbleSize val="0"/>
        </c:dLbls>
        <c:marker val="1"/>
        <c:smooth val="0"/>
        <c:axId val="1403883967"/>
        <c:axId val="1403870655"/>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Female Students of Color</c:v>
                      </c:pt>
                    </c:strCache>
                  </c:strRef>
                </c:tx>
                <c:spPr>
                  <a:ln w="28575" cap="rnd">
                    <a:solidFill>
                      <a:schemeClr val="accent1">
                        <a:lumMod val="60000"/>
                        <a:lumOff val="40000"/>
                      </a:schemeClr>
                    </a:solidFill>
                    <a:prstDash val="dash"/>
                    <a:round/>
                  </a:ln>
                  <a:effectLst/>
                </c:spPr>
                <c:marker>
                  <c:symbol val="circle"/>
                  <c:size val="5"/>
                  <c:spPr>
                    <a:solidFill>
                      <a:schemeClr val="accent1">
                        <a:lumMod val="60000"/>
                        <a:lumOff val="40000"/>
                      </a:schemeClr>
                    </a:solidFill>
                    <a:ln w="9525">
                      <a:noFill/>
                    </a:ln>
                    <a:effectLst/>
                  </c:spPr>
                </c:marker>
                <c:cat>
                  <c:strRef>
                    <c:extLst>
                      <c:ext uri="{02D57815-91ED-43cb-92C2-25804820EDAC}">
                        <c15:formulaRef>
                          <c15:sqref>Sheet1!$A$2:$A$8</c15:sqref>
                        </c15:formulaRef>
                      </c:ext>
                    </c:extLst>
                    <c:strCache>
                      <c:ptCount val="7"/>
                      <c:pt idx="0">
                        <c:v>2016-17</c:v>
                      </c:pt>
                      <c:pt idx="1">
                        <c:v>2017-18</c:v>
                      </c:pt>
                      <c:pt idx="2">
                        <c:v>2018-19</c:v>
                      </c:pt>
                      <c:pt idx="3">
                        <c:v>2019-20</c:v>
                      </c:pt>
                      <c:pt idx="4">
                        <c:v>2020-21</c:v>
                      </c:pt>
                      <c:pt idx="5">
                        <c:v>2021-22</c:v>
                      </c:pt>
                      <c:pt idx="6">
                        <c:v>2022-23</c:v>
                      </c:pt>
                    </c:strCache>
                  </c:strRef>
                </c:cat>
                <c:val>
                  <c:numRef>
                    <c:extLst>
                      <c:ext uri="{02D57815-91ED-43cb-92C2-25804820EDAC}">
                        <c15:formulaRef>
                          <c15:sqref>Sheet1!$C$2:$C$8</c15:sqref>
                        </c15:formulaRef>
                      </c:ext>
                    </c:extLst>
                    <c:numCache>
                      <c:formatCode>0.0%</c:formatCode>
                      <c:ptCount val="7"/>
                      <c:pt idx="0">
                        <c:v>2.8000000000000001E-2</c:v>
                      </c:pt>
                      <c:pt idx="1">
                        <c:v>2.3E-2</c:v>
                      </c:pt>
                      <c:pt idx="2">
                        <c:v>2.4E-2</c:v>
                      </c:pt>
                      <c:pt idx="3">
                        <c:v>2.1000000000000001E-2</c:v>
                      </c:pt>
                      <c:pt idx="4">
                        <c:v>1.9E-2</c:v>
                      </c:pt>
                      <c:pt idx="5">
                        <c:v>2.7E-2</c:v>
                      </c:pt>
                      <c:pt idx="6">
                        <c:v>2.5999999999999999E-2</c:v>
                      </c:pt>
                    </c:numCache>
                  </c:numRef>
                </c:val>
                <c:smooth val="0"/>
                <c:extLst>
                  <c:ext xmlns:c16="http://schemas.microsoft.com/office/drawing/2014/chart" uri="{C3380CC4-5D6E-409C-BE32-E72D297353CC}">
                    <c16:uniqueId val="{00000001-AD40-4D81-8532-7F0B364CF059}"/>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White Female Students</c:v>
                      </c:pt>
                    </c:strCache>
                  </c:strRef>
                </c:tx>
                <c:spPr>
                  <a:ln w="28575" cap="rnd">
                    <a:solidFill>
                      <a:schemeClr val="accent3"/>
                    </a:solidFill>
                    <a:prstDash val="dash"/>
                    <a:round/>
                  </a:ln>
                  <a:effectLst/>
                </c:spPr>
                <c:marker>
                  <c:symbol val="circle"/>
                  <c:size val="5"/>
                  <c:spPr>
                    <a:solidFill>
                      <a:schemeClr val="accent3"/>
                    </a:solidFill>
                    <a:ln w="9525">
                      <a:noFill/>
                    </a:ln>
                    <a:effectLst/>
                  </c:spPr>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2016-17</c:v>
                      </c:pt>
                      <c:pt idx="1">
                        <c:v>2017-18</c:v>
                      </c:pt>
                      <c:pt idx="2">
                        <c:v>2018-19</c:v>
                      </c:pt>
                      <c:pt idx="3">
                        <c:v>2019-20</c:v>
                      </c:pt>
                      <c:pt idx="4">
                        <c:v>2020-21</c:v>
                      </c:pt>
                      <c:pt idx="5">
                        <c:v>2021-22</c:v>
                      </c:pt>
                      <c:pt idx="6">
                        <c:v>2022-23</c:v>
                      </c:pt>
                    </c:strCache>
                  </c:strRef>
                </c:cat>
                <c:val>
                  <c:numRef>
                    <c:extLst xmlns:c15="http://schemas.microsoft.com/office/drawing/2012/chart">
                      <c:ext xmlns:c15="http://schemas.microsoft.com/office/drawing/2012/chart" uri="{02D57815-91ED-43cb-92C2-25804820EDAC}">
                        <c15:formulaRef>
                          <c15:sqref>Sheet1!$D$2:$D$8</c15:sqref>
                        </c15:formulaRef>
                      </c:ext>
                    </c:extLst>
                    <c:numCache>
                      <c:formatCode>0.0%</c:formatCode>
                      <c:ptCount val="7"/>
                      <c:pt idx="0">
                        <c:v>1.2999999999999999E-2</c:v>
                      </c:pt>
                      <c:pt idx="1">
                        <c:v>1.2E-2</c:v>
                      </c:pt>
                      <c:pt idx="2">
                        <c:v>8.9999999999999993E-3</c:v>
                      </c:pt>
                      <c:pt idx="3">
                        <c:v>8.9999999999999993E-3</c:v>
                      </c:pt>
                      <c:pt idx="4">
                        <c:v>8.0000000000000002E-3</c:v>
                      </c:pt>
                      <c:pt idx="5">
                        <c:v>1.0999999999999999E-2</c:v>
                      </c:pt>
                      <c:pt idx="6">
                        <c:v>0.01</c:v>
                      </c:pt>
                    </c:numCache>
                  </c:numRef>
                </c:val>
                <c:smooth val="0"/>
                <c:extLst xmlns:c15="http://schemas.microsoft.com/office/drawing/2012/chart">
                  <c:ext xmlns:c16="http://schemas.microsoft.com/office/drawing/2014/chart" uri="{C3380CC4-5D6E-409C-BE32-E72D297353CC}">
                    <c16:uniqueId val="{00000002-AD40-4D81-8532-7F0B364CF05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Male Students of Color</c:v>
                      </c:pt>
                    </c:strCache>
                  </c:strRef>
                </c:tx>
                <c:spPr>
                  <a:ln w="28575" cap="rnd">
                    <a:solidFill>
                      <a:schemeClr val="bg2">
                        <a:lumMod val="75000"/>
                      </a:schemeClr>
                    </a:solidFill>
                    <a:prstDash val="sysDot"/>
                    <a:round/>
                  </a:ln>
                  <a:effectLst/>
                </c:spPr>
                <c:marker>
                  <c:symbol val="circle"/>
                  <c:size val="5"/>
                  <c:spPr>
                    <a:solidFill>
                      <a:schemeClr val="bg2">
                        <a:lumMod val="75000"/>
                      </a:schemeClr>
                    </a:solidFill>
                    <a:ln w="9525">
                      <a:noFill/>
                    </a:ln>
                    <a:effectLst/>
                  </c:spPr>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2016-17</c:v>
                      </c:pt>
                      <c:pt idx="1">
                        <c:v>2017-18</c:v>
                      </c:pt>
                      <c:pt idx="2">
                        <c:v>2018-19</c:v>
                      </c:pt>
                      <c:pt idx="3">
                        <c:v>2019-20</c:v>
                      </c:pt>
                      <c:pt idx="4">
                        <c:v>2020-21</c:v>
                      </c:pt>
                      <c:pt idx="5">
                        <c:v>2021-22</c:v>
                      </c:pt>
                      <c:pt idx="6">
                        <c:v>2022-23</c:v>
                      </c:pt>
                    </c:strCache>
                  </c:strRef>
                </c:cat>
                <c:val>
                  <c:numRef>
                    <c:extLst xmlns:c15="http://schemas.microsoft.com/office/drawing/2012/chart">
                      <c:ext xmlns:c15="http://schemas.microsoft.com/office/drawing/2012/chart" uri="{02D57815-91ED-43cb-92C2-25804820EDAC}">
                        <c15:formulaRef>
                          <c15:sqref>Sheet1!$F$2:$F$8</c15:sqref>
                        </c15:formulaRef>
                      </c:ext>
                    </c:extLst>
                    <c:numCache>
                      <c:formatCode>0.0%</c:formatCode>
                      <c:ptCount val="7"/>
                      <c:pt idx="0">
                        <c:v>3.6999999999999998E-2</c:v>
                      </c:pt>
                      <c:pt idx="1">
                        <c:v>3.5999999999999997E-2</c:v>
                      </c:pt>
                      <c:pt idx="2">
                        <c:v>3.3000000000000002E-2</c:v>
                      </c:pt>
                      <c:pt idx="3">
                        <c:v>0.03</c:v>
                      </c:pt>
                      <c:pt idx="4">
                        <c:v>3.1E-2</c:v>
                      </c:pt>
                      <c:pt idx="5">
                        <c:v>3.5999999999999997E-2</c:v>
                      </c:pt>
                      <c:pt idx="6">
                        <c:v>3.3000000000000002E-2</c:v>
                      </c:pt>
                    </c:numCache>
                  </c:numRef>
                </c:val>
                <c:smooth val="0"/>
                <c:extLst xmlns:c15="http://schemas.microsoft.com/office/drawing/2012/chart">
                  <c:ext xmlns:c16="http://schemas.microsoft.com/office/drawing/2014/chart" uri="{C3380CC4-5D6E-409C-BE32-E72D297353CC}">
                    <c16:uniqueId val="{00000004-AD40-4D81-8532-7F0B364CF05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White Male Student</c:v>
                      </c:pt>
                    </c:strCache>
                  </c:strRef>
                </c:tx>
                <c:spPr>
                  <a:ln w="28575" cap="rnd">
                    <a:solidFill>
                      <a:schemeClr val="accent3">
                        <a:lumMod val="60000"/>
                        <a:lumOff val="40000"/>
                      </a:schemeClr>
                    </a:solidFill>
                    <a:prstDash val="sysDot"/>
                    <a:round/>
                  </a:ln>
                  <a:effectLst/>
                </c:spPr>
                <c:marker>
                  <c:symbol val="circle"/>
                  <c:size val="5"/>
                  <c:spPr>
                    <a:solidFill>
                      <a:schemeClr val="accent3">
                        <a:lumMod val="60000"/>
                        <a:lumOff val="40000"/>
                      </a:schemeClr>
                    </a:solidFill>
                    <a:ln w="9525">
                      <a:noFill/>
                    </a:ln>
                    <a:effectLst/>
                  </c:spPr>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2016-17</c:v>
                      </c:pt>
                      <c:pt idx="1">
                        <c:v>2017-18</c:v>
                      </c:pt>
                      <c:pt idx="2">
                        <c:v>2018-19</c:v>
                      </c:pt>
                      <c:pt idx="3">
                        <c:v>2019-20</c:v>
                      </c:pt>
                      <c:pt idx="4">
                        <c:v>2020-21</c:v>
                      </c:pt>
                      <c:pt idx="5">
                        <c:v>2021-22</c:v>
                      </c:pt>
                      <c:pt idx="6">
                        <c:v>2022-23</c:v>
                      </c:pt>
                    </c:strCache>
                  </c:strRef>
                </c:cat>
                <c:val>
                  <c:numRef>
                    <c:extLst xmlns:c15="http://schemas.microsoft.com/office/drawing/2012/chart">
                      <c:ext xmlns:c15="http://schemas.microsoft.com/office/drawing/2012/chart" uri="{02D57815-91ED-43cb-92C2-25804820EDAC}">
                        <c15:formulaRef>
                          <c15:sqref>Sheet1!$G$2:$G$8</c15:sqref>
                        </c15:formulaRef>
                      </c:ext>
                    </c:extLst>
                    <c:numCache>
                      <c:formatCode>0.0%</c:formatCode>
                      <c:ptCount val="7"/>
                      <c:pt idx="0">
                        <c:v>1.7000000000000001E-2</c:v>
                      </c:pt>
                      <c:pt idx="1">
                        <c:v>1.6E-2</c:v>
                      </c:pt>
                      <c:pt idx="2">
                        <c:v>1.4E-2</c:v>
                      </c:pt>
                      <c:pt idx="3">
                        <c:v>1.2999999999999999E-2</c:v>
                      </c:pt>
                      <c:pt idx="4">
                        <c:v>1.4E-2</c:v>
                      </c:pt>
                      <c:pt idx="5">
                        <c:v>1.4999999999999999E-2</c:v>
                      </c:pt>
                      <c:pt idx="6">
                        <c:v>1.4E-2</c:v>
                      </c:pt>
                    </c:numCache>
                  </c:numRef>
                </c:val>
                <c:smooth val="0"/>
                <c:extLst xmlns:c15="http://schemas.microsoft.com/office/drawing/2012/chart">
                  <c:ext xmlns:c16="http://schemas.microsoft.com/office/drawing/2014/chart" uri="{C3380CC4-5D6E-409C-BE32-E72D297353CC}">
                    <c16:uniqueId val="{00000005-AD40-4D81-8532-7F0B364CF059}"/>
                  </c:ext>
                </c:extLst>
              </c15:ser>
            </c15:filteredLineSeries>
          </c:ext>
        </c:extLst>
      </c:lineChart>
      <c:catAx>
        <c:axId val="140388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03870655"/>
        <c:crosses val="autoZero"/>
        <c:auto val="1"/>
        <c:lblAlgn val="ctr"/>
        <c:lblOffset val="100"/>
        <c:noMultiLvlLbl val="0"/>
      </c:catAx>
      <c:valAx>
        <c:axId val="140387065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03883967"/>
        <c:crosses val="autoZero"/>
        <c:crossBetween val="between"/>
      </c:valAx>
      <c:spPr>
        <a:noFill/>
        <a:ln>
          <a:noFill/>
        </a:ln>
        <a:effectLst/>
      </c:spPr>
    </c:plotArea>
    <c:legend>
      <c:legendPos val="b"/>
      <c:layout>
        <c:manualLayout>
          <c:xMode val="edge"/>
          <c:yMode val="edge"/>
          <c:x val="0.19695046706538238"/>
          <c:y val="0.86052499383216963"/>
          <c:w val="0.61886067375970444"/>
          <c:h val="0.1091691115054559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dirty="0">
                <a:solidFill>
                  <a:schemeClr val="tx1"/>
                </a:solidFill>
                <a:effectLst/>
              </a:rPr>
              <a:t>Colorado Dropout Rates by IPST: 2021-22 and 2022-23 Comparison</a:t>
            </a:r>
          </a:p>
        </c:rich>
      </c:tx>
      <c:layout>
        <c:manualLayout>
          <c:xMode val="edge"/>
          <c:yMode val="edge"/>
          <c:x val="0.20605580552430947"/>
          <c:y val="0"/>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8.5486189226346779E-3"/>
          <c:y val="8.4263316457827683E-2"/>
          <c:w val="0.98549900012498437"/>
          <c:h val="0.69029347273013464"/>
        </c:manualLayout>
      </c:layout>
      <c:barChart>
        <c:barDir val="col"/>
        <c:grouping val="clustered"/>
        <c:varyColors val="0"/>
        <c:ser>
          <c:idx val="0"/>
          <c:order val="0"/>
          <c:tx>
            <c:strRef>
              <c:f>'Sheet 1'!$A$3</c:f>
              <c:strCache>
                <c:ptCount val="1"/>
                <c:pt idx="0">
                  <c:v>2021-22</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1">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8704-42AC-BE6C-31A47D6630D9}"/>
              </c:ext>
            </c:extLst>
          </c:dPt>
          <c:dLbls>
            <c:dLbl>
              <c:idx val="7"/>
              <c:layout>
                <c:manualLayout>
                  <c:x val="0"/>
                  <c:y val="7.9764177205122085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04-42AC-BE6C-31A47D6630D9}"/>
                </c:ext>
              </c:extLst>
            </c:dLbl>
            <c:dLbl>
              <c:idx val="8"/>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04-42AC-BE6C-31A47D6630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 1'!$B$1:$K$2</c:f>
              <c:strCache>
                <c:ptCount val="10"/>
                <c:pt idx="0">
                  <c:v>State</c:v>
                </c:pt>
                <c:pt idx="1">
                  <c:v>Students with Disabilities </c:v>
                </c:pt>
                <c:pt idx="2">
                  <c:v>Limited English Proficient </c:v>
                </c:pt>
                <c:pt idx="3">
                  <c:v>Economically Disadvantaged</c:v>
                </c:pt>
                <c:pt idx="4">
                  <c:v>Migrant </c:v>
                </c:pt>
                <c:pt idx="5">
                  <c:v>Title 1</c:v>
                </c:pt>
                <c:pt idx="6">
                  <c:v>Homeless </c:v>
                </c:pt>
                <c:pt idx="7">
                  <c:v>Gifted-Talented </c:v>
                </c:pt>
                <c:pt idx="8">
                  <c:v>Military Connected</c:v>
                </c:pt>
                <c:pt idx="9">
                  <c:v>Foster</c:v>
                </c:pt>
              </c:strCache>
            </c:strRef>
          </c:cat>
          <c:val>
            <c:numRef>
              <c:f>'Sheet 1'!$B$3:$K$3</c:f>
              <c:numCache>
                <c:formatCode>0.0%</c:formatCode>
                <c:ptCount val="10"/>
                <c:pt idx="0">
                  <c:v>2.1999999999999999E-2</c:v>
                </c:pt>
                <c:pt idx="1">
                  <c:v>2.5000000000000001E-2</c:v>
                </c:pt>
                <c:pt idx="2">
                  <c:v>4.3999999999999997E-2</c:v>
                </c:pt>
                <c:pt idx="3">
                  <c:v>3.3000000000000002E-2</c:v>
                </c:pt>
                <c:pt idx="4">
                  <c:v>5.6000000000000001E-2</c:v>
                </c:pt>
                <c:pt idx="5">
                  <c:v>4.2999999999999997E-2</c:v>
                </c:pt>
                <c:pt idx="6">
                  <c:v>5.1999999999999998E-2</c:v>
                </c:pt>
                <c:pt idx="7">
                  <c:v>4.0000000000000001E-3</c:v>
                </c:pt>
                <c:pt idx="8">
                  <c:v>7.0000000000000001E-3</c:v>
                </c:pt>
                <c:pt idx="9">
                  <c:v>0.05</c:v>
                </c:pt>
              </c:numCache>
            </c:numRef>
          </c:val>
          <c:extLst>
            <c:ext xmlns:c16="http://schemas.microsoft.com/office/drawing/2014/chart" uri="{C3380CC4-5D6E-409C-BE32-E72D297353CC}">
              <c16:uniqueId val="{00000003-8704-42AC-BE6C-31A47D6630D9}"/>
            </c:ext>
          </c:extLst>
        </c:ser>
        <c:ser>
          <c:idx val="1"/>
          <c:order val="1"/>
          <c:tx>
            <c:strRef>
              <c:f>'Sheet 1'!$A$4</c:f>
              <c:strCache>
                <c:ptCount val="1"/>
                <c:pt idx="0">
                  <c:v>2022-23</c:v>
                </c:pt>
              </c:strCache>
            </c:strRef>
          </c:tx>
          <c:spPr>
            <a:solidFill>
              <a:schemeClr val="accent3">
                <a:lumMod val="75000"/>
                <a:alpha val="85000"/>
              </a:schemeClr>
            </a:solidFill>
            <a:ln w="9525" cap="flat" cmpd="sng" algn="ctr">
              <a:solidFill>
                <a:schemeClr val="lt1">
                  <a:alpha val="50000"/>
                </a:schemeClr>
              </a:solidFill>
              <a:round/>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8704-42AC-BE6C-31A47D6630D9}"/>
                </c:ext>
              </c:extLst>
            </c:dLbl>
            <c:dLbl>
              <c:idx val="8"/>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04-42AC-BE6C-31A47D6630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 1'!$B$1:$K$2</c:f>
              <c:strCache>
                <c:ptCount val="10"/>
                <c:pt idx="0">
                  <c:v>State</c:v>
                </c:pt>
                <c:pt idx="1">
                  <c:v>Students with Disabilities </c:v>
                </c:pt>
                <c:pt idx="2">
                  <c:v>Limited English Proficient </c:v>
                </c:pt>
                <c:pt idx="3">
                  <c:v>Economically Disadvantaged</c:v>
                </c:pt>
                <c:pt idx="4">
                  <c:v>Migrant </c:v>
                </c:pt>
                <c:pt idx="5">
                  <c:v>Title 1</c:v>
                </c:pt>
                <c:pt idx="6">
                  <c:v>Homeless </c:v>
                </c:pt>
                <c:pt idx="7">
                  <c:v>Gifted-Talented </c:v>
                </c:pt>
                <c:pt idx="8">
                  <c:v>Military Connected</c:v>
                </c:pt>
                <c:pt idx="9">
                  <c:v>Foster</c:v>
                </c:pt>
              </c:strCache>
            </c:strRef>
          </c:cat>
          <c:val>
            <c:numRef>
              <c:f>'Sheet 1'!$B$4:$K$4</c:f>
              <c:numCache>
                <c:formatCode>0.0%</c:formatCode>
                <c:ptCount val="10"/>
                <c:pt idx="0">
                  <c:v>2.1000000000000001E-2</c:v>
                </c:pt>
                <c:pt idx="1">
                  <c:v>2.5999999999999999E-2</c:v>
                </c:pt>
                <c:pt idx="2">
                  <c:v>4.1000000000000002E-2</c:v>
                </c:pt>
                <c:pt idx="3">
                  <c:v>2.9000000000000001E-2</c:v>
                </c:pt>
                <c:pt idx="4">
                  <c:v>4.5999999999999999E-2</c:v>
                </c:pt>
                <c:pt idx="5">
                  <c:v>3.9E-2</c:v>
                </c:pt>
                <c:pt idx="6">
                  <c:v>4.8000000000000001E-2</c:v>
                </c:pt>
                <c:pt idx="7">
                  <c:v>2E-3</c:v>
                </c:pt>
                <c:pt idx="8">
                  <c:v>8.0000000000000002E-3</c:v>
                </c:pt>
                <c:pt idx="9">
                  <c:v>5.5E-2</c:v>
                </c:pt>
              </c:numCache>
            </c:numRef>
          </c:val>
          <c:extLst>
            <c:ext xmlns:c16="http://schemas.microsoft.com/office/drawing/2014/chart" uri="{C3380CC4-5D6E-409C-BE32-E72D297353CC}">
              <c16:uniqueId val="{00000005-8704-42AC-BE6C-31A47D6630D9}"/>
            </c:ext>
          </c:extLst>
        </c:ser>
        <c:dLbls>
          <c:dLblPos val="outEnd"/>
          <c:showLegendKey val="0"/>
          <c:showVal val="1"/>
          <c:showCatName val="0"/>
          <c:showSerName val="0"/>
          <c:showPercent val="0"/>
          <c:showBubbleSize val="0"/>
        </c:dLbls>
        <c:gapWidth val="65"/>
        <c:axId val="445030360"/>
        <c:axId val="445030752"/>
      </c:barChart>
      <c:catAx>
        <c:axId val="44503036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none" baseline="0">
                <a:solidFill>
                  <a:schemeClr val="tx1"/>
                </a:solidFill>
                <a:latin typeface="+mn-lt"/>
                <a:ea typeface="+mn-ea"/>
                <a:cs typeface="+mn-cs"/>
              </a:defRPr>
            </a:pPr>
            <a:endParaRPr lang="en-US"/>
          </a:p>
        </c:txPr>
        <c:crossAx val="445030752"/>
        <c:crosses val="autoZero"/>
        <c:auto val="1"/>
        <c:lblAlgn val="ctr"/>
        <c:lblOffset val="100"/>
        <c:noMultiLvlLbl val="0"/>
      </c:catAx>
      <c:valAx>
        <c:axId val="445030752"/>
        <c:scaling>
          <c:orientation val="minMax"/>
          <c:max val="6.0000000000000012E-2"/>
          <c:min val="0"/>
        </c:scaling>
        <c:delete val="1"/>
        <c:axPos val="l"/>
        <c:numFmt formatCode="0.0%" sourceLinked="1"/>
        <c:majorTickMark val="out"/>
        <c:minorTickMark val="none"/>
        <c:tickLblPos val="nextTo"/>
        <c:crossAx val="445030360"/>
        <c:crosses val="autoZero"/>
        <c:crossBetween val="between"/>
      </c:valAx>
      <c:spPr>
        <a:noFill/>
        <a:ln>
          <a:noFill/>
        </a:ln>
        <a:effectLst/>
      </c:spPr>
    </c:plotArea>
    <c:legend>
      <c:legendPos val="b"/>
      <c:layout>
        <c:manualLayout>
          <c:xMode val="edge"/>
          <c:yMode val="edge"/>
          <c:x val="0.42586786026746659"/>
          <c:y val="0.89449508340826245"/>
          <c:w val="0.14826427946506687"/>
          <c:h val="0.1055049165917375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en-US" sz="1050" b="1">
                <a:solidFill>
                  <a:sysClr val="windowText" lastClr="000000"/>
                </a:solidFill>
              </a:rPr>
              <a:t>Re-Enrollment Trend</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4.6147054556400951E-4"/>
          <c:y val="0.26263279445727483"/>
          <c:w val="0.999538529454436"/>
          <c:h val="0.48714358148413267"/>
        </c:manualLayout>
      </c:layout>
      <c:lineChart>
        <c:grouping val="standard"/>
        <c:varyColors val="0"/>
        <c:ser>
          <c:idx val="0"/>
          <c:order val="0"/>
          <c:tx>
            <c:strRef>
              <c:f>Sheet1!$B$1</c:f>
              <c:strCache>
                <c:ptCount val="1"/>
                <c:pt idx="0">
                  <c:v>Re-Enrollment Rate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Sheet1!$B$2:$B$6</c:f>
              <c:numCache>
                <c:formatCode>0.0%</c:formatCode>
                <c:ptCount val="5"/>
                <c:pt idx="0">
                  <c:v>0.29399999999999998</c:v>
                </c:pt>
                <c:pt idx="1">
                  <c:v>0.28699999999999998</c:v>
                </c:pt>
                <c:pt idx="2">
                  <c:v>0.215</c:v>
                </c:pt>
                <c:pt idx="3">
                  <c:v>0.222</c:v>
                </c:pt>
                <c:pt idx="4">
                  <c:v>0.22700000000000001</c:v>
                </c:pt>
              </c:numCache>
            </c:numRef>
          </c:val>
          <c:smooth val="0"/>
          <c:extLst>
            <c:ext xmlns:c16="http://schemas.microsoft.com/office/drawing/2014/chart" uri="{C3380CC4-5D6E-409C-BE32-E72D297353CC}">
              <c16:uniqueId val="{00000000-406E-4489-A97B-D409C14D36AA}"/>
            </c:ext>
          </c:extLst>
        </c:ser>
        <c:dLbls>
          <c:dLblPos val="t"/>
          <c:showLegendKey val="0"/>
          <c:showVal val="1"/>
          <c:showCatName val="0"/>
          <c:showSerName val="0"/>
          <c:showPercent val="0"/>
          <c:showBubbleSize val="0"/>
        </c:dLbls>
        <c:smooth val="0"/>
        <c:axId val="123034623"/>
        <c:axId val="54522783"/>
      </c:lineChart>
      <c:catAx>
        <c:axId val="12303462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School Year</a:t>
                </a:r>
              </a:p>
            </c:rich>
          </c:tx>
          <c:layout>
            <c:manualLayout>
              <c:xMode val="edge"/>
              <c:yMode val="edge"/>
              <c:x val="0.47332168019346382"/>
              <c:y val="0.8655700707866061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4522783"/>
        <c:crosses val="autoZero"/>
        <c:auto val="1"/>
        <c:lblAlgn val="ctr"/>
        <c:lblOffset val="100"/>
        <c:noMultiLvlLbl val="0"/>
      </c:catAx>
      <c:valAx>
        <c:axId val="54522783"/>
        <c:scaling>
          <c:orientation val="minMax"/>
          <c:min val="0.15000000000000002"/>
        </c:scaling>
        <c:delete val="1"/>
        <c:axPos val="l"/>
        <c:numFmt formatCode="0.0%" sourceLinked="1"/>
        <c:majorTickMark val="none"/>
        <c:minorTickMark val="none"/>
        <c:tickLblPos val="nextTo"/>
        <c:crossAx val="123034623"/>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dirty="0">
                <a:solidFill>
                  <a:schemeClr val="tx1"/>
                </a:solidFill>
                <a:effectLst/>
              </a:rPr>
              <a:t>Colorado Dropout Rates by Grade Level: 2021-22 and 2022-2023 Comparison</a:t>
            </a:r>
          </a:p>
        </c:rich>
      </c:tx>
      <c:layout>
        <c:manualLayout>
          <c:xMode val="edge"/>
          <c:yMode val="edge"/>
          <c:x val="0.16817710286214227"/>
          <c:y val="7.6836629730907063E-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1.7695444319460074E-2"/>
          <c:y val="0.16148321417981748"/>
          <c:w val="0.96047915885514312"/>
          <c:h val="0.61101997666958296"/>
        </c:manualLayout>
      </c:layout>
      <c:barChart>
        <c:barDir val="col"/>
        <c:grouping val="clustered"/>
        <c:varyColors val="0"/>
        <c:ser>
          <c:idx val="0"/>
          <c:order val="0"/>
          <c:tx>
            <c:strRef>
              <c:f>'Sheet 1'!$A$3</c:f>
              <c:strCache>
                <c:ptCount val="1"/>
                <c:pt idx="0">
                  <c:v>2021-22</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1">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F0AB-4146-AF2F-EE59E1F7821B}"/>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AB-4146-AF2F-EE59E1F7821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AB-4146-AF2F-EE59E1F7821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AB-4146-AF2F-EE59E1F7821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 1'!$B$1:$H$2</c:f>
              <c:strCache>
                <c:ptCount val="7"/>
                <c:pt idx="0">
                  <c:v>All Students</c:v>
                </c:pt>
                <c:pt idx="1">
                  <c:v>7th</c:v>
                </c:pt>
                <c:pt idx="2">
                  <c:v>8th</c:v>
                </c:pt>
                <c:pt idx="3">
                  <c:v>9th</c:v>
                </c:pt>
                <c:pt idx="4">
                  <c:v>10th</c:v>
                </c:pt>
                <c:pt idx="5">
                  <c:v>11th</c:v>
                </c:pt>
                <c:pt idx="6">
                  <c:v>12th</c:v>
                </c:pt>
              </c:strCache>
            </c:strRef>
          </c:cat>
          <c:val>
            <c:numRef>
              <c:f>'Sheet 1'!$B$3:$H$3</c:f>
              <c:numCache>
                <c:formatCode>0.0%</c:formatCode>
                <c:ptCount val="7"/>
                <c:pt idx="0">
                  <c:v>2.1999999999999999E-2</c:v>
                </c:pt>
                <c:pt idx="1">
                  <c:v>3.0000000000000001E-3</c:v>
                </c:pt>
                <c:pt idx="2">
                  <c:v>3.0000000000000001E-3</c:v>
                </c:pt>
                <c:pt idx="3">
                  <c:v>1.0999999999999999E-2</c:v>
                </c:pt>
                <c:pt idx="4">
                  <c:v>1.4E-2</c:v>
                </c:pt>
                <c:pt idx="5">
                  <c:v>2.8000000000000001E-2</c:v>
                </c:pt>
                <c:pt idx="6">
                  <c:v>7.1999999999999995E-2</c:v>
                </c:pt>
              </c:numCache>
            </c:numRef>
          </c:val>
          <c:extLst>
            <c:ext xmlns:c16="http://schemas.microsoft.com/office/drawing/2014/chart" uri="{C3380CC4-5D6E-409C-BE32-E72D297353CC}">
              <c16:uniqueId val="{00000004-F0AB-4146-AF2F-EE59E1F7821B}"/>
            </c:ext>
          </c:extLst>
        </c:ser>
        <c:ser>
          <c:idx val="1"/>
          <c:order val="1"/>
          <c:tx>
            <c:strRef>
              <c:f>'Sheet 1'!$A$4</c:f>
              <c:strCache>
                <c:ptCount val="1"/>
                <c:pt idx="0">
                  <c:v>2022-23</c:v>
                </c:pt>
              </c:strCache>
            </c:strRef>
          </c:tx>
          <c:spPr>
            <a:solidFill>
              <a:schemeClr val="accent3">
                <a:lumMod val="75000"/>
                <a:alpha val="85000"/>
              </a:schemeClr>
            </a:solidFill>
            <a:ln w="9525" cap="flat" cmpd="sng" algn="ctr">
              <a:solidFill>
                <a:schemeClr val="lt1">
                  <a:alpha val="50000"/>
                </a:schemeClr>
              </a:solidFill>
              <a:round/>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AB-4146-AF2F-EE59E1F7821B}"/>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AB-4146-AF2F-EE59E1F7821B}"/>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AB-4146-AF2F-EE59E1F782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 1'!$B$1:$H$2</c:f>
              <c:strCache>
                <c:ptCount val="7"/>
                <c:pt idx="0">
                  <c:v>All Students</c:v>
                </c:pt>
                <c:pt idx="1">
                  <c:v>7th</c:v>
                </c:pt>
                <c:pt idx="2">
                  <c:v>8th</c:v>
                </c:pt>
                <c:pt idx="3">
                  <c:v>9th</c:v>
                </c:pt>
                <c:pt idx="4">
                  <c:v>10th</c:v>
                </c:pt>
                <c:pt idx="5">
                  <c:v>11th</c:v>
                </c:pt>
                <c:pt idx="6">
                  <c:v>12th</c:v>
                </c:pt>
              </c:strCache>
            </c:strRef>
          </c:cat>
          <c:val>
            <c:numRef>
              <c:f>'Sheet 1'!$B$4:$H$4</c:f>
              <c:numCache>
                <c:formatCode>0.0%</c:formatCode>
                <c:ptCount val="7"/>
                <c:pt idx="0">
                  <c:v>2.1000000000000001E-2</c:v>
                </c:pt>
                <c:pt idx="1">
                  <c:v>3.0000000000000001E-3</c:v>
                </c:pt>
                <c:pt idx="2">
                  <c:v>4.0000000000000001E-3</c:v>
                </c:pt>
                <c:pt idx="3">
                  <c:v>1.0999999999999999E-2</c:v>
                </c:pt>
                <c:pt idx="4">
                  <c:v>1.4999999999999999E-2</c:v>
                </c:pt>
                <c:pt idx="5">
                  <c:v>2.5999999999999999E-2</c:v>
                </c:pt>
                <c:pt idx="6">
                  <c:v>6.4000000000000001E-2</c:v>
                </c:pt>
              </c:numCache>
            </c:numRef>
          </c:val>
          <c:extLst>
            <c:ext xmlns:c16="http://schemas.microsoft.com/office/drawing/2014/chart" uri="{C3380CC4-5D6E-409C-BE32-E72D297353CC}">
              <c16:uniqueId val="{00000007-F0AB-4146-AF2F-EE59E1F7821B}"/>
            </c:ext>
          </c:extLst>
        </c:ser>
        <c:dLbls>
          <c:dLblPos val="inEnd"/>
          <c:showLegendKey val="0"/>
          <c:showVal val="1"/>
          <c:showCatName val="0"/>
          <c:showSerName val="0"/>
          <c:showPercent val="0"/>
          <c:showBubbleSize val="0"/>
        </c:dLbls>
        <c:gapWidth val="65"/>
        <c:axId val="445030360"/>
        <c:axId val="445030752"/>
      </c:barChart>
      <c:catAx>
        <c:axId val="44503036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mn-lt"/>
                <a:ea typeface="+mn-ea"/>
                <a:cs typeface="+mn-cs"/>
              </a:defRPr>
            </a:pPr>
            <a:endParaRPr lang="en-US"/>
          </a:p>
        </c:txPr>
        <c:crossAx val="445030752"/>
        <c:crosses val="autoZero"/>
        <c:auto val="1"/>
        <c:lblAlgn val="ctr"/>
        <c:lblOffset val="100"/>
        <c:noMultiLvlLbl val="0"/>
      </c:catAx>
      <c:valAx>
        <c:axId val="445030752"/>
        <c:scaling>
          <c:orientation val="minMax"/>
          <c:max val="7.5000000000000011E-2"/>
          <c:min val="0"/>
        </c:scaling>
        <c:delete val="1"/>
        <c:axPos val="l"/>
        <c:numFmt formatCode="0.0%" sourceLinked="1"/>
        <c:majorTickMark val="out"/>
        <c:minorTickMark val="none"/>
        <c:tickLblPos val="nextTo"/>
        <c:crossAx val="445030360"/>
        <c:crosses val="autoZero"/>
        <c:crossBetween val="between"/>
      </c:valAx>
      <c:spPr>
        <a:noFill/>
        <a:ln>
          <a:noFill/>
        </a:ln>
        <a:effectLst/>
      </c:spPr>
    </c:plotArea>
    <c:legend>
      <c:legendPos val="b"/>
      <c:layout>
        <c:manualLayout>
          <c:xMode val="edge"/>
          <c:yMode val="edge"/>
          <c:x val="0.39214801274840644"/>
          <c:y val="0.87692913385826776"/>
          <c:w val="0.21173556430446194"/>
          <c:h val="8.40674727374559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6">
          <a:lumMod val="9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4A7A73C8F0B488F2B94D68313F34F" ma:contentTypeVersion="7" ma:contentTypeDescription="Create a new document." ma:contentTypeScope="" ma:versionID="78ec9c25a6e245f5dcb706de15828aa3">
  <xsd:schema xmlns:xsd="http://www.w3.org/2001/XMLSchema" xmlns:xs="http://www.w3.org/2001/XMLSchema" xmlns:p="http://schemas.microsoft.com/office/2006/metadata/properties" xmlns:ns2="a8059525-aef1-4c44-802e-e3dcd771b018" xmlns:ns3="41dc37c2-c4c3-4904-a5b9-d3398831a044" targetNamespace="http://schemas.microsoft.com/office/2006/metadata/properties" ma:root="true" ma:fieldsID="a12b976f3ec1a6d86c851ce86903fe12" ns2:_="" ns3:_="">
    <xsd:import namespace="a8059525-aef1-4c44-802e-e3dcd771b018"/>
    <xsd:import namespace="41dc37c2-c4c3-4904-a5b9-d3398831a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59525-aef1-4c44-802e-e3dcd771b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c37c2-c4c3-4904-a5b9-d3398831a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D4F38-463C-478A-822E-85C942906007}">
  <ds:schemaRefs>
    <ds:schemaRef ds:uri="http://schemas.openxmlformats.org/package/2006/metadata/core-properties"/>
    <ds:schemaRef ds:uri="http://schemas.microsoft.com/office/2006/documentManagement/types"/>
    <ds:schemaRef ds:uri="41dc37c2-c4c3-4904-a5b9-d3398831a044"/>
    <ds:schemaRef ds:uri="http://purl.org/dc/elements/1.1/"/>
    <ds:schemaRef ds:uri="http://purl.org/dc/dcmitype/"/>
    <ds:schemaRef ds:uri="http://schemas.microsoft.com/office/2006/metadata/properties"/>
    <ds:schemaRef ds:uri="http://schemas.microsoft.com/office/infopath/2007/PartnerControls"/>
    <ds:schemaRef ds:uri="a8059525-aef1-4c44-802e-e3dcd771b018"/>
    <ds:schemaRef ds:uri="http://www.w3.org/XML/1998/namespace"/>
    <ds:schemaRef ds:uri="http://purl.org/dc/terms/"/>
  </ds:schemaRefs>
</ds:datastoreItem>
</file>

<file path=customXml/itemProps2.xml><?xml version="1.0" encoding="utf-8"?>
<ds:datastoreItem xmlns:ds="http://schemas.openxmlformats.org/officeDocument/2006/customXml" ds:itemID="{10E491B8-7DE4-4597-8962-55B3D164EBF4}">
  <ds:schemaRefs>
    <ds:schemaRef ds:uri="http://schemas.microsoft.com/sharepoint/v3/contenttype/forms"/>
  </ds:schemaRefs>
</ds:datastoreItem>
</file>

<file path=customXml/itemProps3.xml><?xml version="1.0" encoding="utf-8"?>
<ds:datastoreItem xmlns:ds="http://schemas.openxmlformats.org/officeDocument/2006/customXml" ds:itemID="{71BA5074-B836-4A04-B13C-89C0B1FC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59525-aef1-4c44-802e-e3dcd771b018"/>
    <ds:schemaRef ds:uri="41dc37c2-c4c3-4904-a5b9-d3398831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3053</Characters>
  <Application>Microsoft Office Word</Application>
  <DocSecurity>10</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Reagan</cp:lastModifiedBy>
  <cp:revision>5</cp:revision>
  <dcterms:created xsi:type="dcterms:W3CDTF">2024-01-05T23:44:00Z</dcterms:created>
  <dcterms:modified xsi:type="dcterms:W3CDTF">2024-01-09T18:58:00Z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0x0101009144A7A73C8F0B488F2B94D68313F34F</vt:lpwstr>
  </property>
</Properties>
</file>