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D2" w:rsidRDefault="000F16D2" w:rsidP="00E25BB4">
      <w:pPr>
        <w:pStyle w:val="Subhead"/>
      </w:pPr>
    </w:p>
    <w:p w:rsidR="000F16D2" w:rsidRDefault="000F16D2" w:rsidP="00E25BB4">
      <w:pPr>
        <w:pStyle w:val="Subhead"/>
      </w:pPr>
    </w:p>
    <w:p w:rsidR="00587144" w:rsidRPr="00E25BB4" w:rsidRDefault="00F80F3D" w:rsidP="00E25BB4">
      <w:pPr>
        <w:pStyle w:val="Subhead"/>
      </w:pPr>
      <w:r w:rsidRPr="00E25BB4">
        <w:t>BACKGROUND</w:t>
      </w:r>
    </w:p>
    <w:p w:rsidR="00EC5A0B" w:rsidRDefault="00755CAD" w:rsidP="006D0275">
      <w:pPr>
        <w:rPr>
          <w:color w:val="5C6670" w:themeColor="text1"/>
        </w:rPr>
      </w:pPr>
      <w:r>
        <w:rPr>
          <w:noProof/>
        </w:rPr>
        <mc:AlternateContent>
          <mc:Choice Requires="wps">
            <w:drawing>
              <wp:anchor distT="0" distB="0" distL="114300" distR="114300" simplePos="0" relativeHeight="251656704" behindDoc="0" locked="0" layoutInCell="1" allowOverlap="1" wp14:anchorId="54B3A519" wp14:editId="0AD19803">
                <wp:simplePos x="0" y="0"/>
                <wp:positionH relativeFrom="margin">
                  <wp:posOffset>4795058</wp:posOffset>
                </wp:positionH>
                <wp:positionV relativeFrom="page">
                  <wp:posOffset>2218690</wp:posOffset>
                </wp:positionV>
                <wp:extent cx="1895475" cy="4821382"/>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95475" cy="4821382"/>
                        </a:xfrm>
                        <a:prstGeom prst="rect">
                          <a:avLst/>
                        </a:prstGeom>
                        <a:noFill/>
                        <a:ln w="6350">
                          <a:noFill/>
                        </a:ln>
                      </wps:spPr>
                      <wps:txbx>
                        <w:txbxContent>
                          <w:p w:rsidR="00587144" w:rsidRPr="00ED03EA" w:rsidRDefault="000F2BA3" w:rsidP="008579D7">
                            <w:pPr>
                              <w:pStyle w:val="SubheadTrebuchet"/>
                            </w:pPr>
                            <w:r>
                              <w:t>End of Clock Recommendation Process</w:t>
                            </w:r>
                          </w:p>
                          <w:p w:rsidR="00587144" w:rsidRPr="000F2BA3" w:rsidRDefault="000F2BA3" w:rsidP="000F2BA3">
                            <w:pPr>
                              <w:spacing w:after="150"/>
                              <w:rPr>
                                <w:rFonts w:asciiTheme="minorHAnsi" w:hAnsiTheme="minorHAnsi" w:cstheme="minorHAnsi"/>
                                <w:color w:val="333333"/>
                                <w:sz w:val="20"/>
                                <w:szCs w:val="20"/>
                              </w:rPr>
                            </w:pPr>
                            <w:r w:rsidRPr="000F2BA3">
                              <w:rPr>
                                <w:rFonts w:asciiTheme="minorHAnsi" w:hAnsiTheme="minorHAnsi" w:cstheme="minorHAnsi"/>
                                <w:color w:val="333333"/>
                                <w:sz w:val="20"/>
                                <w:szCs w:val="20"/>
                              </w:rPr>
                              <w:t>If a school or district receives a plan type of Priority Improvement or Turnaround for five years, then the State Board of Education must direct an action to the local board of education. The State Board has discretion to take action prior to the end of the Accountability Clock for schools and districts with Turnaround plans.</w:t>
                            </w:r>
                          </w:p>
                          <w:p w:rsidR="000F2BA3" w:rsidRPr="00EC5A0B" w:rsidRDefault="000F2BA3" w:rsidP="000F2BA3">
                            <w:pPr>
                              <w:spacing w:after="150"/>
                              <w:rPr>
                                <w:rFonts w:asciiTheme="minorHAnsi" w:hAnsiTheme="minorHAnsi" w:cstheme="minorHAnsi"/>
                                <w:sz w:val="20"/>
                                <w:szCs w:val="20"/>
                              </w:rPr>
                            </w:pPr>
                            <w:r w:rsidRPr="000F2BA3">
                              <w:rPr>
                                <w:rFonts w:asciiTheme="minorHAnsi" w:hAnsiTheme="minorHAnsi" w:cstheme="minorHAnsi"/>
                                <w:color w:val="333333"/>
                                <w:sz w:val="20"/>
                                <w:szCs w:val="20"/>
                              </w:rPr>
                              <w:t xml:space="preserve">Schools and districts on the Accountability Clock for any period of time should be implementing research-based strategies of appropriate scope and intensity to improve student outcomes. After five years, the State Board of Education </w:t>
                            </w:r>
                            <w:r w:rsidR="009A4952">
                              <w:rPr>
                                <w:rFonts w:asciiTheme="minorHAnsi" w:hAnsiTheme="minorHAnsi" w:cstheme="minorHAnsi"/>
                                <w:color w:val="333333"/>
                                <w:sz w:val="20"/>
                                <w:szCs w:val="20"/>
                              </w:rPr>
                              <w:t xml:space="preserve">will direct action from a limited list of options. </w:t>
                            </w:r>
                            <w:r w:rsidRPr="000F2BA3">
                              <w:rPr>
                                <w:rFonts w:asciiTheme="minorHAnsi" w:hAnsiTheme="minorHAnsi" w:cstheme="minorHAnsi"/>
                                <w:color w:val="333333"/>
                                <w:sz w:val="20"/>
                                <w:szCs w:val="20"/>
                              </w:rPr>
                              <w:t xml:space="preserve"> In considering appropriate actions, the State Board will refer to a recommendation from the State Review Panel and a report from the Commissioner of Education. School districts may also provide a proposal for their preferred pathway to the State Board.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3A519" id="_x0000_t202" coordsize="21600,21600" o:spt="202" path="m,l,21600r21600,l21600,xe">
                <v:stroke joinstyle="miter"/>
                <v:path gradientshapeok="t" o:connecttype="rect"/>
              </v:shapetype>
              <v:shape id="Text Box 8" o:spid="_x0000_s1026" type="#_x0000_t202" style="position:absolute;margin-left:377.55pt;margin-top:174.7pt;width:149.25pt;height:37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" filled="f" stroked="f" strokeweight=".5pt">
                <v:textbox inset="0,0,0,0">
                  <w:txbxContent>
                    <w:p w:rsidR="00587144" w:rsidRPr="00ED03EA" w:rsidRDefault="000F2BA3" w:rsidP="008579D7">
                      <w:pPr>
                        <w:pStyle w:val="SubheadTrebuchet"/>
                      </w:pPr>
                      <w:r>
                        <w:t>End of Clock Recommendation Process</w:t>
                      </w:r>
                    </w:p>
                    <w:p w:rsidR="00587144" w:rsidRPr="000F2BA3" w:rsidRDefault="000F2BA3" w:rsidP="000F2BA3">
                      <w:pPr>
                        <w:spacing w:after="150"/>
                        <w:rPr>
                          <w:rFonts w:asciiTheme="minorHAnsi" w:hAnsiTheme="minorHAnsi" w:cstheme="minorHAnsi"/>
                          <w:color w:val="333333"/>
                          <w:sz w:val="20"/>
                          <w:szCs w:val="20"/>
                        </w:rPr>
                      </w:pPr>
                      <w:r w:rsidRPr="000F2BA3">
                        <w:rPr>
                          <w:rFonts w:asciiTheme="minorHAnsi" w:hAnsiTheme="minorHAnsi" w:cstheme="minorHAnsi"/>
                          <w:color w:val="333333"/>
                          <w:sz w:val="20"/>
                          <w:szCs w:val="20"/>
                        </w:rPr>
                        <w:t>If a school or district receives a plan type of Priority Improvement or Turnaround for five years, then the State Board of Education must direct an action to the local board of education. The State Board has discretion to take action prior to the end of the Accountability Clock for schools and districts with Turnaround plans.</w:t>
                      </w:r>
                    </w:p>
                    <w:p w:rsidR="000F2BA3" w:rsidRPr="00EC5A0B" w:rsidRDefault="000F2BA3" w:rsidP="000F2BA3">
                      <w:pPr>
                        <w:spacing w:after="150"/>
                        <w:rPr>
                          <w:rFonts w:asciiTheme="minorHAnsi" w:hAnsiTheme="minorHAnsi" w:cstheme="minorHAnsi"/>
                          <w:sz w:val="20"/>
                          <w:szCs w:val="20"/>
                        </w:rPr>
                      </w:pPr>
                      <w:r w:rsidRPr="000F2BA3">
                        <w:rPr>
                          <w:rFonts w:asciiTheme="minorHAnsi" w:hAnsiTheme="minorHAnsi" w:cstheme="minorHAnsi"/>
                          <w:color w:val="333333"/>
                          <w:sz w:val="20"/>
                          <w:szCs w:val="20"/>
                        </w:rPr>
                        <w:t xml:space="preserve">Schools and districts on the Accountability Clock for any period of time should be implementing research-based strategies of appropriate scope and intensity to improve student outcomes. After five years, the State Board of Education </w:t>
                      </w:r>
                      <w:r w:rsidR="009A4952">
                        <w:rPr>
                          <w:rFonts w:asciiTheme="minorHAnsi" w:hAnsiTheme="minorHAnsi" w:cstheme="minorHAnsi"/>
                          <w:color w:val="333333"/>
                          <w:sz w:val="20"/>
                          <w:szCs w:val="20"/>
                        </w:rPr>
                        <w:t xml:space="preserve">will direct action from a limited list of options. </w:t>
                      </w:r>
                      <w:r w:rsidRPr="000F2BA3">
                        <w:rPr>
                          <w:rFonts w:asciiTheme="minorHAnsi" w:hAnsiTheme="minorHAnsi" w:cstheme="minorHAnsi"/>
                          <w:color w:val="333333"/>
                          <w:sz w:val="20"/>
                          <w:szCs w:val="20"/>
                        </w:rPr>
                        <w:t xml:space="preserve"> In considering appropriate actions, the State Board will refer to a recommendation from the State Review Panel and a report from the Commissioner of Education. School districts may also provide a proposal for their preferred pathway to the State Board.</w:t>
                      </w:r>
                    </w:p>
                  </w:txbxContent>
                </v:textbox>
                <w10:wrap anchorx="margin" anchory="page"/>
              </v:shape>
            </w:pict>
          </mc:Fallback>
        </mc:AlternateContent>
      </w:r>
      <w:r w:rsidRPr="00E25BB4">
        <w:rPr>
          <w:noProof/>
        </w:rPr>
        <mc:AlternateContent>
          <mc:Choice Requires="wps">
            <w:drawing>
              <wp:anchor distT="182880" distB="182880" distL="182880" distR="182880" simplePos="0" relativeHeight="251655680" behindDoc="1" locked="0" layoutInCell="1" allowOverlap="1" wp14:anchorId="6E1DF4C3" wp14:editId="0E43CE5C">
                <wp:simplePos x="0" y="0"/>
                <wp:positionH relativeFrom="margin">
                  <wp:align>right</wp:align>
                </wp:positionH>
                <wp:positionV relativeFrom="page">
                  <wp:posOffset>1960880</wp:posOffset>
                </wp:positionV>
                <wp:extent cx="2242185" cy="4937760"/>
                <wp:effectExtent l="0" t="0" r="5715" b="0"/>
                <wp:wrapTight wrapText="bothSides">
                  <wp:wrapPolygon edited="0">
                    <wp:start x="0" y="0"/>
                    <wp:lineTo x="0" y="21500"/>
                    <wp:lineTo x="21472" y="21500"/>
                    <wp:lineTo x="21472" y="0"/>
                    <wp:lineTo x="0" y="0"/>
                  </wp:wrapPolygon>
                </wp:wrapTight>
                <wp:docPr id="6" name="Rectangle 6" descr="Decorative only" title="Grey shaded box"/>
                <wp:cNvGraphicFramePr/>
                <a:graphic xmlns:a="http://schemas.openxmlformats.org/drawingml/2006/main">
                  <a:graphicData uri="http://schemas.microsoft.com/office/word/2010/wordprocessingShape">
                    <wps:wsp>
                      <wps:cNvSpPr/>
                      <wps:spPr>
                        <a:xfrm>
                          <a:off x="0" y="0"/>
                          <a:ext cx="2242185" cy="4937760"/>
                        </a:xfrm>
                        <a:prstGeom prst="rect">
                          <a:avLst/>
                        </a:prstGeom>
                        <a:gradFill>
                          <a:gsLst>
                            <a:gs pos="84000">
                              <a:schemeClr val="bg1"/>
                            </a:gs>
                            <a:gs pos="0">
                              <a:schemeClr val="bg1">
                                <a:lumMod val="9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F5D0" id="Rectangle 6" o:spid="_x0000_s1026" alt="Title: Grey shaded box - Description: Decorative only" style="position:absolute;margin-left:125.35pt;margin-top:154.4pt;width:176.55pt;height:388.8pt;z-index:-251660800;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" fillcolor="#f2f2f2 [3052]" stroked="f" strokeweight="1.5pt">
                <v:fill color2="white [3212]" colors="0 #f2f2f2;55050f white" focus="100%" type="gradient"/>
                <w10:wrap type="tight" anchorx="margin" anchory="page"/>
              </v:rect>
            </w:pict>
          </mc:Fallback>
        </mc:AlternateContent>
      </w:r>
      <w:r w:rsidR="00F80F3D">
        <w:rPr>
          <w:color w:val="5C6670" w:themeColor="text1"/>
        </w:rPr>
        <w:t>Under</w:t>
      </w:r>
      <w:r w:rsidR="00F80F3D" w:rsidRPr="00F80F3D">
        <w:rPr>
          <w:color w:val="5C6670" w:themeColor="text1"/>
        </w:rPr>
        <w:t xml:space="preserve"> legislation passed </w:t>
      </w:r>
      <w:r w:rsidR="00EC5A0B">
        <w:rPr>
          <w:color w:val="5C6670" w:themeColor="text1"/>
        </w:rPr>
        <w:t>in</w:t>
      </w:r>
      <w:r w:rsidR="00F80F3D" w:rsidRPr="00F80F3D">
        <w:rPr>
          <w:color w:val="5C6670" w:themeColor="text1"/>
        </w:rPr>
        <w:t xml:space="preserve"> spring 2018 (</w:t>
      </w:r>
      <w:hyperlink r:id="rId8" w:history="1">
        <w:r w:rsidR="00FC7E96">
          <w:rPr>
            <w:rStyle w:val="Hyperlink"/>
          </w:rPr>
          <w:t>HB18</w:t>
        </w:r>
        <w:r w:rsidR="00A74CBC">
          <w:rPr>
            <w:rStyle w:val="Hyperlink"/>
          </w:rPr>
          <w:t>-</w:t>
        </w:r>
        <w:r w:rsidR="00F80F3D" w:rsidRPr="00F80F3D">
          <w:rPr>
            <w:rStyle w:val="Hyperlink"/>
          </w:rPr>
          <w:t>1355</w:t>
        </w:r>
      </w:hyperlink>
      <w:r w:rsidR="00F80F3D">
        <w:rPr>
          <w:rStyle w:val="FootnoteReference"/>
          <w:color w:val="5C6670" w:themeColor="text1"/>
        </w:rPr>
        <w:footnoteReference w:id="1"/>
      </w:r>
      <w:r w:rsidR="00F80F3D" w:rsidRPr="00F80F3D">
        <w:rPr>
          <w:color w:val="5C6670" w:themeColor="text1"/>
        </w:rPr>
        <w:t xml:space="preserve">), Colorado’s </w:t>
      </w:r>
      <w:r w:rsidR="001F6088">
        <w:rPr>
          <w:color w:val="5C6670" w:themeColor="text1"/>
        </w:rPr>
        <w:t>A</w:t>
      </w:r>
      <w:r w:rsidR="00F80F3D" w:rsidRPr="00F80F3D">
        <w:rPr>
          <w:color w:val="5C6670" w:themeColor="text1"/>
        </w:rPr>
        <w:t xml:space="preserve">ccountability </w:t>
      </w:r>
      <w:r w:rsidR="001F6088">
        <w:rPr>
          <w:color w:val="5C6670" w:themeColor="text1"/>
        </w:rPr>
        <w:t>L</w:t>
      </w:r>
      <w:r w:rsidR="00F80F3D" w:rsidRPr="00F80F3D">
        <w:rPr>
          <w:color w:val="5C6670" w:themeColor="text1"/>
        </w:rPr>
        <w:t xml:space="preserve">aw now includes additional </w:t>
      </w:r>
      <w:r w:rsidR="00EC5A0B">
        <w:rPr>
          <w:color w:val="5C6670" w:themeColor="text1"/>
        </w:rPr>
        <w:t xml:space="preserve">improvement planning </w:t>
      </w:r>
      <w:r w:rsidR="00F80F3D" w:rsidRPr="00F80F3D">
        <w:rPr>
          <w:color w:val="5C6670" w:themeColor="text1"/>
        </w:rPr>
        <w:t xml:space="preserve">requirements for schools </w:t>
      </w:r>
      <w:r w:rsidR="00EC5A0B">
        <w:rPr>
          <w:color w:val="5C6670" w:themeColor="text1"/>
        </w:rPr>
        <w:t xml:space="preserve">and districts </w:t>
      </w:r>
      <w:r w:rsidR="00F80F3D" w:rsidRPr="00F80F3D">
        <w:rPr>
          <w:color w:val="5C6670" w:themeColor="text1"/>
        </w:rPr>
        <w:t xml:space="preserve">in year four of </w:t>
      </w:r>
      <w:r w:rsidR="00EC5A0B">
        <w:rPr>
          <w:color w:val="5C6670" w:themeColor="text1"/>
        </w:rPr>
        <w:t>the accountability clock.  S</w:t>
      </w:r>
      <w:r w:rsidR="001F6088">
        <w:rPr>
          <w:color w:val="5C6670" w:themeColor="text1"/>
        </w:rPr>
        <w:t>pecifically</w:t>
      </w:r>
      <w:r w:rsidR="00EC5A0B">
        <w:rPr>
          <w:color w:val="5C6670" w:themeColor="text1"/>
        </w:rPr>
        <w:t>,</w:t>
      </w:r>
      <w:r w:rsidR="00E25BB4">
        <w:rPr>
          <w:color w:val="5C6670" w:themeColor="text1"/>
        </w:rPr>
        <w:t xml:space="preserve"> </w:t>
      </w:r>
      <w:r w:rsidR="00F80F3D" w:rsidRPr="00F80F3D">
        <w:rPr>
          <w:color w:val="5C6670" w:themeColor="text1"/>
        </w:rPr>
        <w:t>a general explanation for how the school/district may put int</w:t>
      </w:r>
      <w:r>
        <w:rPr>
          <w:color w:val="5C6670" w:themeColor="text1"/>
        </w:rPr>
        <w:t>o effect each of the potential</w:t>
      </w:r>
      <w:r w:rsidR="00F80F3D" w:rsidRPr="00F80F3D">
        <w:rPr>
          <w:color w:val="5C6670" w:themeColor="text1"/>
        </w:rPr>
        <w:t xml:space="preserve"> state board directed actions</w:t>
      </w:r>
      <w:r w:rsidR="00EC5A0B">
        <w:rPr>
          <w:color w:val="5C6670" w:themeColor="text1"/>
        </w:rPr>
        <w:t xml:space="preserve"> must be included within the Unified Improvement Plan (UIP)</w:t>
      </w:r>
      <w:r w:rsidR="00F80F3D" w:rsidRPr="00F80F3D">
        <w:rPr>
          <w:color w:val="5C6670" w:themeColor="text1"/>
        </w:rPr>
        <w:t xml:space="preserve">.  </w:t>
      </w:r>
      <w:r w:rsidR="00EC5A0B">
        <w:rPr>
          <w:color w:val="5C6670" w:themeColor="text1"/>
        </w:rPr>
        <w:t xml:space="preserve">Given the significant actions that the State Board of Education may direct, the intent of planning at this stage is to </w:t>
      </w:r>
      <w:r>
        <w:rPr>
          <w:color w:val="5C6670" w:themeColor="text1"/>
        </w:rPr>
        <w:t>begin considering</w:t>
      </w:r>
      <w:r w:rsidR="00EC5A0B">
        <w:rPr>
          <w:color w:val="5C6670" w:themeColor="text1"/>
        </w:rPr>
        <w:t xml:space="preserve"> </w:t>
      </w:r>
      <w:r>
        <w:rPr>
          <w:color w:val="5C6670" w:themeColor="text1"/>
        </w:rPr>
        <w:t xml:space="preserve">any </w:t>
      </w:r>
      <w:r w:rsidR="00EC5A0B">
        <w:rPr>
          <w:color w:val="5C6670" w:themeColor="text1"/>
        </w:rPr>
        <w:t>long-range planning</w:t>
      </w:r>
      <w:r>
        <w:rPr>
          <w:color w:val="5C6670" w:themeColor="text1"/>
        </w:rPr>
        <w:t xml:space="preserve"> that may be necessary for directed action implementation</w:t>
      </w:r>
      <w:r w:rsidR="00EC5A0B">
        <w:rPr>
          <w:color w:val="5C6670" w:themeColor="text1"/>
        </w:rPr>
        <w:t>.</w:t>
      </w:r>
      <w:r w:rsidR="00E25BB4">
        <w:rPr>
          <w:color w:val="5C6670" w:themeColor="text1"/>
        </w:rPr>
        <w:t xml:space="preserve">  This resource provides additional detail about the requirement and provides</w:t>
      </w:r>
      <w:bookmarkStart w:id="0" w:name="_GoBack"/>
      <w:bookmarkEnd w:id="0"/>
      <w:r w:rsidR="00E25BB4">
        <w:rPr>
          <w:color w:val="5C6670" w:themeColor="text1"/>
        </w:rPr>
        <w:t xml:space="preserve"> some options for meeting expectations beginning in 2019-20.</w:t>
      </w:r>
    </w:p>
    <w:p w:rsidR="00EC5A0B" w:rsidRDefault="00EC5A0B" w:rsidP="006D0275">
      <w:pPr>
        <w:rPr>
          <w:color w:val="5C6670" w:themeColor="text1"/>
        </w:rPr>
      </w:pPr>
    </w:p>
    <w:p w:rsidR="00F80F3D" w:rsidRPr="00F80F3D" w:rsidRDefault="001F6088" w:rsidP="00F80F3D">
      <w:pPr>
        <w:pStyle w:val="Heading2"/>
        <w:jc w:val="both"/>
        <w:rPr>
          <w:rFonts w:asciiTheme="minorHAnsi" w:hAnsiTheme="minorHAnsi" w:cstheme="minorHAnsi"/>
          <w:b w:val="0"/>
          <w:color w:val="5C6670" w:themeColor="text1"/>
          <w:sz w:val="22"/>
          <w:szCs w:val="22"/>
        </w:rPr>
      </w:pPr>
      <w:r>
        <w:rPr>
          <w:rFonts w:asciiTheme="minorHAnsi" w:hAnsiTheme="minorHAnsi" w:cstheme="minorHAnsi"/>
          <w:b w:val="0"/>
          <w:color w:val="5C6670" w:themeColor="text1"/>
          <w:sz w:val="22"/>
          <w:szCs w:val="22"/>
        </w:rPr>
        <w:t>Pursuant to Colorado law, to improve performance, the State Board of Education may direct action to s</w:t>
      </w:r>
      <w:r w:rsidR="00F80F3D">
        <w:rPr>
          <w:rFonts w:asciiTheme="minorHAnsi" w:hAnsiTheme="minorHAnsi" w:cstheme="minorHAnsi"/>
          <w:b w:val="0"/>
          <w:color w:val="5C6670" w:themeColor="text1"/>
          <w:sz w:val="22"/>
          <w:szCs w:val="22"/>
        </w:rPr>
        <w:t xml:space="preserve">chools and districts that reach Year 5 or later on </w:t>
      </w:r>
      <w:r w:rsidR="00A8061D">
        <w:rPr>
          <w:rFonts w:asciiTheme="minorHAnsi" w:hAnsiTheme="minorHAnsi" w:cstheme="minorHAnsi"/>
          <w:b w:val="0"/>
          <w:color w:val="5C6670" w:themeColor="text1"/>
          <w:sz w:val="22"/>
          <w:szCs w:val="22"/>
        </w:rPr>
        <w:t>the accountability clock – this does not apply to schools/districts that are “on watch</w:t>
      </w:r>
      <w:r>
        <w:rPr>
          <w:rFonts w:asciiTheme="minorHAnsi" w:hAnsiTheme="minorHAnsi" w:cstheme="minorHAnsi"/>
          <w:b w:val="0"/>
          <w:color w:val="5C6670" w:themeColor="text1"/>
          <w:sz w:val="22"/>
          <w:szCs w:val="22"/>
        </w:rPr>
        <w:t>.</w:t>
      </w:r>
      <w:r w:rsidR="00A8061D">
        <w:rPr>
          <w:rFonts w:asciiTheme="minorHAnsi" w:hAnsiTheme="minorHAnsi" w:cstheme="minorHAnsi"/>
          <w:b w:val="0"/>
          <w:color w:val="5C6670" w:themeColor="text1"/>
          <w:sz w:val="22"/>
          <w:szCs w:val="22"/>
        </w:rPr>
        <w:t>”</w:t>
      </w:r>
      <w:r w:rsidR="00F80F3D">
        <w:rPr>
          <w:rFonts w:asciiTheme="minorHAnsi" w:hAnsiTheme="minorHAnsi" w:cstheme="minorHAnsi"/>
          <w:b w:val="0"/>
          <w:color w:val="5C6670" w:themeColor="text1"/>
          <w:sz w:val="22"/>
          <w:szCs w:val="22"/>
        </w:rPr>
        <w:t xml:space="preserve">  T</w:t>
      </w:r>
      <w:r w:rsidR="00F80F3D" w:rsidRPr="00F80F3D">
        <w:rPr>
          <w:rFonts w:asciiTheme="minorHAnsi" w:hAnsiTheme="minorHAnsi" w:cstheme="minorHAnsi"/>
          <w:b w:val="0"/>
          <w:color w:val="5C6670" w:themeColor="text1"/>
          <w:sz w:val="22"/>
          <w:szCs w:val="22"/>
        </w:rPr>
        <w:t xml:space="preserve">he possible directed actions are detailed </w:t>
      </w:r>
      <w:hyperlink r:id="rId9" w:history="1">
        <w:r w:rsidR="00F80F3D" w:rsidRPr="00F80F3D">
          <w:rPr>
            <w:rStyle w:val="Hyperlink"/>
            <w:rFonts w:asciiTheme="minorHAnsi" w:hAnsiTheme="minorHAnsi" w:cstheme="minorHAnsi"/>
            <w:b w:val="0"/>
            <w:sz w:val="22"/>
            <w:szCs w:val="22"/>
          </w:rPr>
          <w:t>here</w:t>
        </w:r>
      </w:hyperlink>
      <w:r w:rsidR="00F80F3D" w:rsidRPr="00F80F3D">
        <w:rPr>
          <w:rStyle w:val="FootnoteReference"/>
          <w:rFonts w:asciiTheme="minorHAnsi" w:hAnsiTheme="minorHAnsi" w:cstheme="minorHAnsi"/>
          <w:b w:val="0"/>
          <w:color w:val="5C6670" w:themeColor="text1"/>
          <w:sz w:val="22"/>
          <w:szCs w:val="22"/>
        </w:rPr>
        <w:footnoteReference w:id="2"/>
      </w:r>
      <w:r w:rsidR="00F80F3D" w:rsidRPr="00F80F3D">
        <w:rPr>
          <w:rFonts w:asciiTheme="minorHAnsi" w:hAnsiTheme="minorHAnsi" w:cstheme="minorHAnsi"/>
          <w:b w:val="0"/>
          <w:color w:val="5C6670" w:themeColor="text1"/>
          <w:sz w:val="22"/>
          <w:szCs w:val="22"/>
        </w:rPr>
        <w:t xml:space="preserve"> and include:</w:t>
      </w:r>
    </w:p>
    <w:p w:rsidR="00F80F3D" w:rsidRPr="00F80F3D" w:rsidRDefault="00F80F3D" w:rsidP="00E25BB4">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b w:val="0"/>
          <w:color w:val="5C6670" w:themeColor="text1"/>
          <w:sz w:val="22"/>
          <w:szCs w:val="22"/>
        </w:rPr>
      </w:pPr>
      <w:r w:rsidRPr="00F80F3D">
        <w:rPr>
          <w:rFonts w:asciiTheme="minorHAnsi" w:hAnsiTheme="minorHAnsi" w:cstheme="minorHAnsi"/>
          <w:color w:val="5C6670" w:themeColor="text1"/>
          <w:sz w:val="22"/>
          <w:szCs w:val="22"/>
        </w:rPr>
        <w:t>Innovation Status:</w:t>
      </w:r>
      <w:r w:rsidRPr="00F80F3D">
        <w:rPr>
          <w:rFonts w:asciiTheme="minorHAnsi" w:hAnsiTheme="minorHAnsi" w:cstheme="minorHAnsi"/>
          <w:b w:val="0"/>
          <w:color w:val="5C6670" w:themeColor="text1"/>
          <w:sz w:val="22"/>
          <w:szCs w:val="22"/>
        </w:rPr>
        <w:t xml:space="preserve"> </w:t>
      </w:r>
      <w:r w:rsidR="00E25BB4">
        <w:rPr>
          <w:rFonts w:asciiTheme="minorHAnsi" w:hAnsiTheme="minorHAnsi" w:cstheme="minorHAnsi"/>
          <w:b w:val="0"/>
          <w:color w:val="5C6670" w:themeColor="text1"/>
          <w:sz w:val="22"/>
          <w:szCs w:val="22"/>
        </w:rPr>
        <w:t>P</w:t>
      </w:r>
      <w:r w:rsidRPr="00F80F3D">
        <w:rPr>
          <w:rFonts w:asciiTheme="minorHAnsi" w:hAnsiTheme="minorHAnsi" w:cstheme="minorHAnsi"/>
          <w:b w:val="0"/>
          <w:color w:val="5C6670" w:themeColor="text1"/>
          <w:sz w:val="22"/>
          <w:szCs w:val="22"/>
        </w:rPr>
        <w:t>rovide flexibility from certain state and local rules.</w:t>
      </w:r>
    </w:p>
    <w:p w:rsidR="00F80F3D" w:rsidRPr="00F80F3D" w:rsidRDefault="00F80F3D" w:rsidP="00E25BB4">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b w:val="0"/>
          <w:color w:val="5C6670" w:themeColor="text1"/>
          <w:sz w:val="22"/>
          <w:szCs w:val="22"/>
        </w:rPr>
      </w:pPr>
      <w:r w:rsidRPr="00F80F3D">
        <w:rPr>
          <w:rFonts w:asciiTheme="minorHAnsi" w:hAnsiTheme="minorHAnsi" w:cstheme="minorHAnsi"/>
          <w:color w:val="5C6670" w:themeColor="text1"/>
          <w:sz w:val="22"/>
          <w:szCs w:val="22"/>
        </w:rPr>
        <w:t>Management by a Public or Private Entity:</w:t>
      </w:r>
      <w:r w:rsidRPr="00F80F3D">
        <w:rPr>
          <w:rFonts w:asciiTheme="minorHAnsi" w:hAnsiTheme="minorHAnsi" w:cstheme="minorHAnsi"/>
          <w:b w:val="0"/>
          <w:color w:val="5C6670" w:themeColor="text1"/>
          <w:sz w:val="22"/>
          <w:szCs w:val="22"/>
        </w:rPr>
        <w:t xml:space="preserve"> Require a district or school to work with an external management partner.</w:t>
      </w:r>
    </w:p>
    <w:p w:rsidR="00F80F3D" w:rsidRPr="00F80F3D" w:rsidRDefault="00F80F3D" w:rsidP="00E25BB4">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b w:val="0"/>
          <w:color w:val="5C6670" w:themeColor="text1"/>
          <w:sz w:val="22"/>
          <w:szCs w:val="22"/>
        </w:rPr>
      </w:pPr>
      <w:r w:rsidRPr="00F80F3D">
        <w:rPr>
          <w:rFonts w:asciiTheme="minorHAnsi" w:hAnsiTheme="minorHAnsi" w:cstheme="minorHAnsi"/>
          <w:color w:val="5C6670" w:themeColor="text1"/>
          <w:sz w:val="22"/>
          <w:szCs w:val="22"/>
        </w:rPr>
        <w:t>Convert School to a Charter School:</w:t>
      </w:r>
      <w:r w:rsidRPr="00F80F3D">
        <w:rPr>
          <w:rFonts w:asciiTheme="minorHAnsi" w:hAnsiTheme="minorHAnsi" w:cstheme="minorHAnsi"/>
          <w:b w:val="0"/>
          <w:color w:val="5C6670" w:themeColor="text1"/>
          <w:sz w:val="22"/>
          <w:szCs w:val="22"/>
        </w:rPr>
        <w:t xml:space="preserve"> Convert a district run school to a charter school.</w:t>
      </w:r>
    </w:p>
    <w:p w:rsidR="00F80F3D" w:rsidRPr="00F80F3D" w:rsidRDefault="00E25BB4" w:rsidP="00E25BB4">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color w:val="5C6670" w:themeColor="text1"/>
          <w:sz w:val="22"/>
          <w:szCs w:val="22"/>
        </w:rPr>
      </w:pPr>
      <w:r>
        <w:rPr>
          <w:rFonts w:asciiTheme="minorHAnsi" w:hAnsiTheme="minorHAnsi" w:cstheme="minorHAnsi"/>
          <w:color w:val="5C6670" w:themeColor="text1"/>
          <w:sz w:val="22"/>
          <w:szCs w:val="22"/>
        </w:rPr>
        <w:t xml:space="preserve">Change </w:t>
      </w:r>
      <w:r w:rsidR="00F80F3D" w:rsidRPr="00F80F3D">
        <w:rPr>
          <w:rFonts w:asciiTheme="minorHAnsi" w:hAnsiTheme="minorHAnsi" w:cstheme="minorHAnsi"/>
          <w:color w:val="5C6670" w:themeColor="text1"/>
          <w:sz w:val="22"/>
          <w:szCs w:val="22"/>
        </w:rPr>
        <w:t>Charter Operator</w:t>
      </w:r>
      <w:r>
        <w:rPr>
          <w:rFonts w:asciiTheme="minorHAnsi" w:hAnsiTheme="minorHAnsi" w:cstheme="minorHAnsi"/>
          <w:color w:val="5C6670" w:themeColor="text1"/>
          <w:sz w:val="22"/>
          <w:szCs w:val="22"/>
        </w:rPr>
        <w:t>/Board</w:t>
      </w:r>
      <w:r w:rsidR="00F80F3D" w:rsidRPr="00F80F3D">
        <w:rPr>
          <w:rFonts w:asciiTheme="minorHAnsi" w:hAnsiTheme="minorHAnsi" w:cstheme="minorHAnsi"/>
          <w:color w:val="5C6670" w:themeColor="text1"/>
          <w:sz w:val="22"/>
          <w:szCs w:val="22"/>
        </w:rPr>
        <w:t xml:space="preserve">: </w:t>
      </w:r>
      <w:r w:rsidR="00F80F3D" w:rsidRPr="00F80F3D">
        <w:rPr>
          <w:rFonts w:asciiTheme="minorHAnsi" w:hAnsiTheme="minorHAnsi" w:cstheme="minorHAnsi"/>
          <w:b w:val="0"/>
          <w:color w:val="5C6670" w:themeColor="text1"/>
          <w:sz w:val="22"/>
          <w:szCs w:val="22"/>
        </w:rPr>
        <w:t>Require a charter school to replace its operator or governing board</w:t>
      </w:r>
      <w:r>
        <w:rPr>
          <w:rFonts w:asciiTheme="minorHAnsi" w:hAnsiTheme="minorHAnsi" w:cstheme="minorHAnsi"/>
          <w:b w:val="0"/>
          <w:color w:val="5C6670" w:themeColor="text1"/>
          <w:sz w:val="22"/>
          <w:szCs w:val="22"/>
        </w:rPr>
        <w:t>.</w:t>
      </w:r>
    </w:p>
    <w:p w:rsidR="00F80F3D" w:rsidRDefault="00F80F3D" w:rsidP="00E25BB4">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color w:val="5C6670" w:themeColor="text1"/>
          <w:sz w:val="22"/>
          <w:szCs w:val="22"/>
        </w:rPr>
      </w:pPr>
      <w:r w:rsidRPr="00F80F3D">
        <w:rPr>
          <w:rFonts w:asciiTheme="minorHAnsi" w:hAnsiTheme="minorHAnsi" w:cstheme="minorHAnsi"/>
          <w:color w:val="5C6670" w:themeColor="text1"/>
          <w:sz w:val="22"/>
          <w:szCs w:val="22"/>
        </w:rPr>
        <w:t>School Closure</w:t>
      </w:r>
    </w:p>
    <w:p w:rsidR="00E25BB4" w:rsidRPr="00E25BB4" w:rsidRDefault="00E25BB4" w:rsidP="000F16D2">
      <w:pPr>
        <w:pStyle w:val="Heading2"/>
        <w:keepNext w:val="0"/>
        <w:keepLines w:val="0"/>
        <w:widowControl w:val="0"/>
        <w:numPr>
          <w:ilvl w:val="0"/>
          <w:numId w:val="11"/>
        </w:numPr>
        <w:tabs>
          <w:tab w:val="left" w:pos="720"/>
        </w:tabs>
        <w:autoSpaceDE w:val="0"/>
        <w:autoSpaceDN w:val="0"/>
        <w:spacing w:before="0"/>
        <w:ind w:left="720"/>
        <w:jc w:val="both"/>
        <w:rPr>
          <w:rFonts w:asciiTheme="minorHAnsi" w:hAnsiTheme="minorHAnsi" w:cstheme="minorHAnsi"/>
          <w:color w:val="5C6670" w:themeColor="text1"/>
          <w:sz w:val="22"/>
          <w:szCs w:val="22"/>
        </w:rPr>
      </w:pPr>
      <w:r>
        <w:rPr>
          <w:rFonts w:asciiTheme="minorHAnsi" w:hAnsiTheme="minorHAnsi" w:cstheme="minorHAnsi"/>
          <w:color w:val="5C6670" w:themeColor="text1"/>
          <w:sz w:val="22"/>
          <w:szCs w:val="22"/>
        </w:rPr>
        <w:t>District Reorgan</w:t>
      </w:r>
      <w:r w:rsidR="006A178A">
        <w:rPr>
          <w:rFonts w:asciiTheme="minorHAnsi" w:hAnsiTheme="minorHAnsi" w:cstheme="minorHAnsi"/>
          <w:color w:val="5C6670" w:themeColor="text1"/>
          <w:sz w:val="22"/>
          <w:szCs w:val="22"/>
        </w:rPr>
        <w:t>i</w:t>
      </w:r>
      <w:r>
        <w:rPr>
          <w:rFonts w:asciiTheme="minorHAnsi" w:hAnsiTheme="minorHAnsi" w:cstheme="minorHAnsi"/>
          <w:color w:val="5C6670" w:themeColor="text1"/>
          <w:sz w:val="22"/>
          <w:szCs w:val="22"/>
        </w:rPr>
        <w:t xml:space="preserve">zation:  </w:t>
      </w:r>
      <w:r>
        <w:rPr>
          <w:rFonts w:asciiTheme="minorHAnsi" w:hAnsiTheme="minorHAnsi" w:cstheme="minorHAnsi"/>
          <w:b w:val="0"/>
          <w:color w:val="5C6670" w:themeColor="text1"/>
          <w:sz w:val="22"/>
          <w:szCs w:val="22"/>
        </w:rPr>
        <w:t>Consolidate the district with a neighboring district(s).</w:t>
      </w:r>
    </w:p>
    <w:p w:rsidR="00415E9F" w:rsidRDefault="00415E9F" w:rsidP="007B38CB">
      <w:pPr>
        <w:pStyle w:val="Body"/>
      </w:pPr>
    </w:p>
    <w:p w:rsidR="00755CAD" w:rsidRDefault="00755CAD">
      <w:pPr>
        <w:rPr>
          <w:rFonts w:ascii="Trebuchet MS" w:hAnsi="Trebuchet MS"/>
          <w:b/>
          <w:color w:val="488BC9" w:themeColor="accent1"/>
          <w:sz w:val="28"/>
        </w:rPr>
      </w:pPr>
      <w:r>
        <w:lastRenderedPageBreak/>
        <w:br w:type="page"/>
      </w:r>
    </w:p>
    <w:p w:rsidR="00F80F3D" w:rsidRPr="00ED03EA" w:rsidRDefault="00FD68D6" w:rsidP="00E25BB4">
      <w:pPr>
        <w:pStyle w:val="Subhead"/>
      </w:pPr>
      <w:r>
        <w:lastRenderedPageBreak/>
        <w:t>INSTRUCTIONS</w:t>
      </w:r>
      <w:r w:rsidR="00E25BB4">
        <w:t xml:space="preserve"> </w:t>
      </w:r>
      <w:r w:rsidR="009A4952">
        <w:t>TO COMPLETE REQUIREMENT</w:t>
      </w:r>
    </w:p>
    <w:p w:rsidR="00E25BB4" w:rsidRPr="00A8061D" w:rsidRDefault="00E25BB4" w:rsidP="00E25BB4">
      <w:pPr>
        <w:rPr>
          <w:color w:val="5C6670" w:themeColor="text1"/>
        </w:rPr>
      </w:pPr>
      <w:r w:rsidRPr="00A8061D">
        <w:rPr>
          <w:color w:val="5C6670" w:themeColor="text1"/>
        </w:rPr>
        <w:t>In the future, a form will be built into the online UIP system.  In the interim, this requirement can be fulfilled by attaching a separate document to the schools’ or districts’ UIP</w:t>
      </w:r>
      <w:r w:rsidR="006A178A" w:rsidRPr="00A8061D">
        <w:rPr>
          <w:color w:val="5C6670" w:themeColor="text1"/>
        </w:rPr>
        <w:t>(s)</w:t>
      </w:r>
      <w:r w:rsidRPr="00A8061D">
        <w:rPr>
          <w:color w:val="5C6670" w:themeColor="text1"/>
        </w:rPr>
        <w:t>.  A potential form has been included in this resource.</w:t>
      </w:r>
    </w:p>
    <w:p w:rsidR="00E50E24" w:rsidRPr="00A8061D" w:rsidRDefault="001F6088" w:rsidP="00F80F3D">
      <w:pPr>
        <w:pStyle w:val="Heading2"/>
        <w:jc w:val="both"/>
        <w:rPr>
          <w:rFonts w:asciiTheme="minorHAnsi" w:hAnsiTheme="minorHAnsi" w:cstheme="minorHAnsi"/>
          <w:b w:val="0"/>
          <w:color w:val="5C6670" w:themeColor="text1"/>
          <w:sz w:val="22"/>
          <w:szCs w:val="22"/>
        </w:rPr>
      </w:pPr>
      <w:r w:rsidRPr="00A8061D">
        <w:rPr>
          <w:rFonts w:asciiTheme="minorHAnsi" w:hAnsiTheme="minorHAnsi" w:cstheme="minorHAnsi"/>
          <w:b w:val="0"/>
          <w:color w:val="5C6670" w:themeColor="text1"/>
          <w:sz w:val="22"/>
          <w:szCs w:val="22"/>
        </w:rPr>
        <w:t>Using the steps below, complete the Year 4</w:t>
      </w:r>
      <w:r w:rsidR="00E50E24" w:rsidRPr="00A8061D">
        <w:rPr>
          <w:rFonts w:asciiTheme="minorHAnsi" w:hAnsiTheme="minorHAnsi" w:cstheme="minorHAnsi"/>
          <w:b w:val="0"/>
          <w:color w:val="5C6670" w:themeColor="text1"/>
          <w:sz w:val="22"/>
          <w:szCs w:val="22"/>
        </w:rPr>
        <w:t xml:space="preserve"> </w:t>
      </w:r>
      <w:r w:rsidR="009A4952" w:rsidRPr="00A8061D">
        <w:rPr>
          <w:rFonts w:asciiTheme="minorHAnsi" w:hAnsiTheme="minorHAnsi" w:cstheme="minorHAnsi"/>
          <w:b w:val="0"/>
          <w:color w:val="5C6670" w:themeColor="text1"/>
          <w:sz w:val="22"/>
          <w:szCs w:val="22"/>
        </w:rPr>
        <w:t xml:space="preserve">Accountability Clock Form </w:t>
      </w:r>
      <w:r w:rsidRPr="00A8061D">
        <w:rPr>
          <w:rFonts w:asciiTheme="minorHAnsi" w:hAnsiTheme="minorHAnsi" w:cstheme="minorHAnsi"/>
          <w:b w:val="0"/>
          <w:color w:val="5C6670" w:themeColor="text1"/>
          <w:sz w:val="22"/>
          <w:szCs w:val="22"/>
        </w:rPr>
        <w:t>and add as an attachment to the school’s</w:t>
      </w:r>
      <w:r w:rsidR="00FC7E96" w:rsidRPr="00A8061D">
        <w:rPr>
          <w:rFonts w:asciiTheme="minorHAnsi" w:hAnsiTheme="minorHAnsi" w:cstheme="minorHAnsi"/>
          <w:b w:val="0"/>
          <w:color w:val="5C6670" w:themeColor="text1"/>
          <w:sz w:val="22"/>
          <w:szCs w:val="22"/>
        </w:rPr>
        <w:t xml:space="preserve"> or district’s</w:t>
      </w:r>
      <w:r w:rsidRPr="00A8061D">
        <w:rPr>
          <w:rFonts w:asciiTheme="minorHAnsi" w:hAnsiTheme="minorHAnsi" w:cstheme="minorHAnsi"/>
          <w:b w:val="0"/>
          <w:color w:val="5C6670" w:themeColor="text1"/>
          <w:sz w:val="22"/>
          <w:szCs w:val="22"/>
        </w:rPr>
        <w:t xml:space="preserve"> UIP. </w:t>
      </w:r>
      <w:r w:rsidR="009A4952" w:rsidRPr="00A8061D">
        <w:rPr>
          <w:rFonts w:asciiTheme="minorHAnsi" w:hAnsiTheme="minorHAnsi" w:cstheme="minorHAnsi"/>
          <w:b w:val="0"/>
          <w:color w:val="5C6670" w:themeColor="text1"/>
          <w:sz w:val="22"/>
          <w:szCs w:val="22"/>
        </w:rPr>
        <w:t xml:space="preserve"> </w:t>
      </w:r>
    </w:p>
    <w:p w:rsidR="00E50E24" w:rsidRPr="00EC5A0B" w:rsidRDefault="00E50E24" w:rsidP="00A74CBC">
      <w:pPr>
        <w:pStyle w:val="NoSpacing"/>
        <w:numPr>
          <w:ilvl w:val="0"/>
          <w:numId w:val="15"/>
        </w:numPr>
        <w:ind w:left="810"/>
        <w:rPr>
          <w:b/>
        </w:rPr>
      </w:pPr>
      <w:r>
        <w:t xml:space="preserve">Review </w:t>
      </w:r>
      <w:r w:rsidR="009A4952">
        <w:t xml:space="preserve">all of </w:t>
      </w:r>
      <w:r>
        <w:t xml:space="preserve">the possible </w:t>
      </w:r>
      <w:r w:rsidR="009A4952">
        <w:t xml:space="preserve">directed </w:t>
      </w:r>
      <w:r>
        <w:t>actions</w:t>
      </w:r>
      <w:r w:rsidR="00E92F47">
        <w:t>.</w:t>
      </w:r>
      <w:r w:rsidR="009A4952">
        <w:t xml:space="preserve">  These options are laid out in statute.  The State Board will be looking for evidence that the school/district sincerely explored all possibilities.</w:t>
      </w:r>
      <w:r w:rsidR="00546D85">
        <w:t xml:space="preserve">  Note:  The EASI grant (available in </w:t>
      </w:r>
      <w:r w:rsidR="00755CAD">
        <w:t xml:space="preserve">the </w:t>
      </w:r>
      <w:r w:rsidR="00546D85">
        <w:t>fall) offers dollars to assist with exploring and planning these options.</w:t>
      </w:r>
    </w:p>
    <w:p w:rsidR="00E50E24" w:rsidRPr="00A8061D" w:rsidRDefault="00A8061D" w:rsidP="00A74CBC">
      <w:pPr>
        <w:pStyle w:val="NoSpacing"/>
        <w:numPr>
          <w:ilvl w:val="0"/>
          <w:numId w:val="15"/>
        </w:numPr>
        <w:ind w:left="810"/>
        <w:rPr>
          <w:b/>
        </w:rPr>
      </w:pPr>
      <w:r>
        <w:t>C</w:t>
      </w:r>
      <w:r w:rsidR="00E50E24">
        <w:t>onsider the viability of implementing each action, identifying those that would have the most positive impact on student performance</w:t>
      </w:r>
      <w:r w:rsidR="00546D85">
        <w:t xml:space="preserve"> within your unique context</w:t>
      </w:r>
      <w:r w:rsidR="00E92F47">
        <w:t>.</w:t>
      </w:r>
      <w:r w:rsidR="00E50E24">
        <w:t xml:space="preserve"> </w:t>
      </w:r>
      <w:r>
        <w:t xml:space="preserve"> Think about which pathway(s):</w:t>
      </w:r>
    </w:p>
    <w:p w:rsidR="00A8061D" w:rsidRPr="00755CAD" w:rsidRDefault="00A8061D" w:rsidP="00755CAD">
      <w:pPr>
        <w:pStyle w:val="Heading2"/>
        <w:keepNext w:val="0"/>
        <w:keepLines w:val="0"/>
        <w:widowControl w:val="0"/>
        <w:numPr>
          <w:ilvl w:val="1"/>
          <w:numId w:val="16"/>
        </w:numPr>
        <w:autoSpaceDE w:val="0"/>
        <w:autoSpaceDN w:val="0"/>
        <w:spacing w:before="0"/>
        <w:jc w:val="both"/>
        <w:rPr>
          <w:rFonts w:asciiTheme="minorHAnsi" w:hAnsiTheme="minorHAnsi" w:cstheme="minorHAnsi"/>
          <w:b w:val="0"/>
          <w:color w:val="5C6670" w:themeColor="text1"/>
          <w:sz w:val="22"/>
          <w:szCs w:val="22"/>
        </w:rPr>
      </w:pPr>
      <w:r w:rsidRPr="00A8061D">
        <w:rPr>
          <w:rFonts w:asciiTheme="minorHAnsi" w:hAnsiTheme="minorHAnsi" w:cstheme="minorHAnsi"/>
          <w:b w:val="0"/>
          <w:color w:val="5C6670" w:themeColor="text1"/>
          <w:sz w:val="22"/>
          <w:szCs w:val="22"/>
        </w:rPr>
        <w:t>Has the greatest likelihood of improving student outcomes?</w:t>
      </w:r>
    </w:p>
    <w:p w:rsidR="00A8061D" w:rsidRPr="00A8061D" w:rsidRDefault="00A8061D" w:rsidP="00A8061D">
      <w:pPr>
        <w:pStyle w:val="Heading2"/>
        <w:keepNext w:val="0"/>
        <w:keepLines w:val="0"/>
        <w:widowControl w:val="0"/>
        <w:numPr>
          <w:ilvl w:val="1"/>
          <w:numId w:val="16"/>
        </w:numPr>
        <w:autoSpaceDE w:val="0"/>
        <w:autoSpaceDN w:val="0"/>
        <w:spacing w:before="0"/>
        <w:jc w:val="both"/>
        <w:rPr>
          <w:rFonts w:asciiTheme="minorHAnsi" w:hAnsiTheme="minorHAnsi" w:cstheme="minorHAnsi"/>
          <w:b w:val="0"/>
          <w:color w:val="5C6670" w:themeColor="text1"/>
          <w:sz w:val="22"/>
          <w:szCs w:val="22"/>
        </w:rPr>
      </w:pPr>
      <w:r w:rsidRPr="00A8061D">
        <w:rPr>
          <w:rFonts w:asciiTheme="minorHAnsi" w:hAnsiTheme="minorHAnsi" w:cstheme="minorHAnsi"/>
          <w:b w:val="0"/>
          <w:color w:val="5C6670" w:themeColor="text1"/>
          <w:sz w:val="22"/>
          <w:szCs w:val="22"/>
        </w:rPr>
        <w:t>Has the highest likelihood of being implemented to a high level?</w:t>
      </w:r>
    </w:p>
    <w:p w:rsidR="00A8061D" w:rsidRPr="00A8061D" w:rsidRDefault="00A8061D" w:rsidP="00A8061D">
      <w:pPr>
        <w:pStyle w:val="Heading2"/>
        <w:keepNext w:val="0"/>
        <w:keepLines w:val="0"/>
        <w:widowControl w:val="0"/>
        <w:numPr>
          <w:ilvl w:val="1"/>
          <w:numId w:val="16"/>
        </w:numPr>
        <w:autoSpaceDE w:val="0"/>
        <w:autoSpaceDN w:val="0"/>
        <w:spacing w:before="0"/>
        <w:jc w:val="both"/>
        <w:rPr>
          <w:rFonts w:asciiTheme="minorHAnsi" w:hAnsiTheme="minorHAnsi" w:cstheme="minorHAnsi"/>
          <w:b w:val="0"/>
          <w:color w:val="5C6670" w:themeColor="text1"/>
          <w:sz w:val="22"/>
          <w:szCs w:val="22"/>
        </w:rPr>
      </w:pPr>
      <w:r w:rsidRPr="00A8061D">
        <w:rPr>
          <w:rFonts w:asciiTheme="minorHAnsi" w:hAnsiTheme="minorHAnsi" w:cstheme="minorHAnsi"/>
          <w:b w:val="0"/>
          <w:color w:val="5C6670" w:themeColor="text1"/>
          <w:sz w:val="22"/>
          <w:szCs w:val="22"/>
        </w:rPr>
        <w:t>Would garner stakeholder support?</w:t>
      </w:r>
    </w:p>
    <w:p w:rsidR="00A8061D" w:rsidRPr="00A8061D" w:rsidRDefault="00A8061D" w:rsidP="00A8061D">
      <w:pPr>
        <w:pStyle w:val="Heading2"/>
        <w:keepNext w:val="0"/>
        <w:keepLines w:val="0"/>
        <w:widowControl w:val="0"/>
        <w:numPr>
          <w:ilvl w:val="1"/>
          <w:numId w:val="16"/>
        </w:numPr>
        <w:autoSpaceDE w:val="0"/>
        <w:autoSpaceDN w:val="0"/>
        <w:spacing w:before="0"/>
        <w:jc w:val="both"/>
        <w:rPr>
          <w:rFonts w:asciiTheme="minorHAnsi" w:hAnsiTheme="minorHAnsi" w:cstheme="minorHAnsi"/>
          <w:b w:val="0"/>
          <w:color w:val="5C6670" w:themeColor="text1"/>
          <w:sz w:val="22"/>
          <w:szCs w:val="22"/>
        </w:rPr>
      </w:pPr>
      <w:r w:rsidRPr="00A8061D">
        <w:rPr>
          <w:rFonts w:asciiTheme="minorHAnsi" w:hAnsiTheme="minorHAnsi" w:cstheme="minorHAnsi"/>
          <w:b w:val="0"/>
          <w:color w:val="5C6670" w:themeColor="text1"/>
          <w:sz w:val="22"/>
          <w:szCs w:val="22"/>
        </w:rPr>
        <w:t xml:space="preserve">Would meet needs that the district or school cannot currently provide? </w:t>
      </w:r>
    </w:p>
    <w:p w:rsidR="00A8061D" w:rsidRPr="00EC5A0B" w:rsidRDefault="00A8061D" w:rsidP="00A8061D">
      <w:pPr>
        <w:pStyle w:val="NoSpacing"/>
        <w:ind w:left="1080"/>
        <w:rPr>
          <w:b/>
        </w:rPr>
      </w:pPr>
    </w:p>
    <w:p w:rsidR="00E50E24" w:rsidRPr="00EC5A0B" w:rsidRDefault="00E50E24" w:rsidP="00755CAD">
      <w:pPr>
        <w:pStyle w:val="NoSpacing"/>
        <w:numPr>
          <w:ilvl w:val="0"/>
          <w:numId w:val="17"/>
        </w:numPr>
        <w:rPr>
          <w:b/>
        </w:rPr>
      </w:pPr>
      <w:r>
        <w:t xml:space="preserve">Record findings in the Year 4 </w:t>
      </w:r>
      <w:r w:rsidR="009A4952">
        <w:t>Accountability Clock Form</w:t>
      </w:r>
      <w:r>
        <w:t>, focusing on the preferred action(s)</w:t>
      </w:r>
      <w:r w:rsidR="00E92F47">
        <w:t>.</w:t>
      </w:r>
      <w:r w:rsidR="00546D85">
        <w:t xml:space="preserve">  However, think about findings for all applicable options.</w:t>
      </w:r>
    </w:p>
    <w:p w:rsidR="00E50E24" w:rsidRPr="00EC5A0B" w:rsidRDefault="00E50E24" w:rsidP="00755CAD">
      <w:pPr>
        <w:pStyle w:val="NoSpacing"/>
        <w:numPr>
          <w:ilvl w:val="0"/>
          <w:numId w:val="17"/>
        </w:numPr>
        <w:rPr>
          <w:b/>
        </w:rPr>
      </w:pPr>
      <w:r>
        <w:t>Explain how these findings were decided in collaboration with the district</w:t>
      </w:r>
      <w:r w:rsidR="00E92F47">
        <w:t xml:space="preserve"> authorizer.</w:t>
      </w:r>
      <w:r>
        <w:t xml:space="preserve"> </w:t>
      </w:r>
    </w:p>
    <w:p w:rsidR="00E50E24" w:rsidRPr="00EC5A0B" w:rsidRDefault="00E50E24" w:rsidP="00755CAD">
      <w:pPr>
        <w:pStyle w:val="NoSpacing"/>
        <w:numPr>
          <w:ilvl w:val="0"/>
          <w:numId w:val="17"/>
        </w:numPr>
        <w:rPr>
          <w:b/>
        </w:rPr>
      </w:pPr>
      <w:r>
        <w:t>Explain the district’s role in implementing the preferred action(s), including any barriers and needed supports</w:t>
      </w:r>
      <w:r w:rsidR="00E92F47">
        <w:t>.</w:t>
      </w:r>
    </w:p>
    <w:p w:rsidR="00E50E24" w:rsidRPr="00EC5A0B" w:rsidRDefault="00A74CBC" w:rsidP="00755CAD">
      <w:pPr>
        <w:pStyle w:val="NoSpacing"/>
        <w:numPr>
          <w:ilvl w:val="0"/>
          <w:numId w:val="17"/>
        </w:numPr>
        <w:rPr>
          <w:b/>
        </w:rPr>
      </w:pPr>
      <w:r>
        <w:t>(</w:t>
      </w:r>
      <w:r w:rsidR="00E50E24">
        <w:t xml:space="preserve">If currently </w:t>
      </w:r>
      <w:r w:rsidR="00FC7E96">
        <w:t>implementing a Turnaround plan</w:t>
      </w:r>
      <w:r>
        <w:t>) E</w:t>
      </w:r>
      <w:r w:rsidR="00E50E24">
        <w:t>xplain how the current chosen Turnaround strategy aligns with the preferred action(s)</w:t>
      </w:r>
      <w:r w:rsidR="00E92F47">
        <w:t>.</w:t>
      </w:r>
      <w:r w:rsidR="00E50E24">
        <w:t xml:space="preserve"> </w:t>
      </w:r>
    </w:p>
    <w:p w:rsidR="00E50E24" w:rsidRPr="00E50E24" w:rsidRDefault="00E50E24" w:rsidP="00755CAD">
      <w:pPr>
        <w:pStyle w:val="NoSpacing"/>
        <w:numPr>
          <w:ilvl w:val="0"/>
          <w:numId w:val="17"/>
        </w:numPr>
        <w:rPr>
          <w:b/>
        </w:rPr>
      </w:pPr>
      <w:r>
        <w:t>Briefly address the other actions, explaining why they are not viable options for the school</w:t>
      </w:r>
      <w:r w:rsidR="00E92F47">
        <w:t>.</w:t>
      </w:r>
      <w:r>
        <w:t xml:space="preserve">  </w:t>
      </w:r>
    </w:p>
    <w:p w:rsidR="00546D85" w:rsidRDefault="002332BE">
      <w:r>
        <w:rPr>
          <w:noProof/>
        </w:rPr>
        <mc:AlternateContent>
          <mc:Choice Requires="wps">
            <w:drawing>
              <wp:anchor distT="0" distB="0" distL="114300" distR="114300" simplePos="0" relativeHeight="251659776" behindDoc="1" locked="0" layoutInCell="1" allowOverlap="1" wp14:anchorId="25C1678F" wp14:editId="07AEA2D5">
                <wp:simplePos x="0" y="0"/>
                <wp:positionH relativeFrom="page">
                  <wp:posOffset>0</wp:posOffset>
                </wp:positionH>
                <wp:positionV relativeFrom="paragraph">
                  <wp:posOffset>4019550</wp:posOffset>
                </wp:positionV>
                <wp:extent cx="7772400" cy="1485900"/>
                <wp:effectExtent l="0" t="0" r="0" b="0"/>
                <wp:wrapTight wrapText="bothSides">
                  <wp:wrapPolygon edited="0">
                    <wp:start x="0" y="0"/>
                    <wp:lineTo x="0" y="21323"/>
                    <wp:lineTo x="21547" y="21323"/>
                    <wp:lineTo x="2154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772400" cy="1485900"/>
                        </a:xfrm>
                        <a:prstGeom prst="rect">
                          <a:avLst/>
                        </a:prstGeom>
                        <a:solidFill>
                          <a:srgbClr val="0070C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42045" w:rsidRDefault="00142045" w:rsidP="00142045">
                            <w:pPr>
                              <w:pStyle w:val="Heading2"/>
                            </w:pPr>
                            <w:r>
                              <w:t>Where can I learn more?</w:t>
                            </w:r>
                          </w:p>
                          <w:p w:rsidR="00423FF3" w:rsidRPr="00423FF3" w:rsidRDefault="00423FF3" w:rsidP="00142045">
                            <w:pPr>
                              <w:pStyle w:val="ListParagraph"/>
                              <w:numPr>
                                <w:ilvl w:val="0"/>
                                <w:numId w:val="10"/>
                              </w:numPr>
                              <w:spacing w:after="120"/>
                              <w:rPr>
                                <w:rStyle w:val="Hyperlink"/>
                                <w:rFonts w:ascii="Trebuchet MS" w:hAnsi="Trebuchet MS"/>
                                <w:b/>
                                <w:color w:val="FFFFFF" w:themeColor="background1"/>
                                <w:sz w:val="24"/>
                                <w:u w:val="none"/>
                              </w:rPr>
                            </w:pPr>
                            <w:r w:rsidRPr="00423FF3">
                              <w:rPr>
                                <w:color w:val="FFFFFF" w:themeColor="background1"/>
                              </w:rPr>
                              <w:t xml:space="preserve">CDE staff can help schools and districts understand each potential action, how they can review options, and meet requirements.  Reach out to your </w:t>
                            </w:r>
                            <w:hyperlink r:id="rId10" w:history="1">
                              <w:r w:rsidRPr="00423FF3">
                                <w:rPr>
                                  <w:rStyle w:val="Hyperlink"/>
                                  <w:color w:val="FFFFFF" w:themeColor="background1"/>
                                </w:rPr>
                                <w:t>CDE Support Coordinator</w:t>
                              </w:r>
                            </w:hyperlink>
                          </w:p>
                          <w:p w:rsidR="00142045" w:rsidRPr="00423FF3" w:rsidRDefault="00F80F3D" w:rsidP="00142045">
                            <w:pPr>
                              <w:pStyle w:val="ListParagraph"/>
                              <w:numPr>
                                <w:ilvl w:val="0"/>
                                <w:numId w:val="10"/>
                              </w:numPr>
                              <w:spacing w:after="120"/>
                              <w:rPr>
                                <w:rFonts w:ascii="Trebuchet MS" w:hAnsi="Trebuchet MS"/>
                                <w:b/>
                                <w:color w:val="FFFFFF" w:themeColor="background1"/>
                                <w:sz w:val="24"/>
                              </w:rPr>
                            </w:pPr>
                            <w:r w:rsidRPr="00423FF3">
                              <w:rPr>
                                <w:color w:val="FFFFFF" w:themeColor="background1"/>
                                <w:szCs w:val="22"/>
                              </w:rPr>
                              <w:t xml:space="preserve">CDE Accountability, Performance and Support resources:  </w:t>
                            </w:r>
                            <w:hyperlink r:id="rId11" w:history="1">
                              <w:r w:rsidRPr="00423FF3">
                                <w:rPr>
                                  <w:rStyle w:val="Hyperlink"/>
                                  <w:color w:val="FFFFFF" w:themeColor="background1"/>
                                </w:rPr>
                                <w:t>https://www.cde.state.co.us/accountability</w:t>
                              </w:r>
                            </w:hyperlink>
                          </w:p>
                          <w:p w:rsidR="00142045" w:rsidRPr="00423FF3" w:rsidRDefault="0082774D" w:rsidP="00142045">
                            <w:pPr>
                              <w:pStyle w:val="ListParagraph"/>
                              <w:numPr>
                                <w:ilvl w:val="0"/>
                                <w:numId w:val="6"/>
                              </w:numPr>
                              <w:spacing w:after="120"/>
                              <w:rPr>
                                <w:rFonts w:ascii="Trebuchet MS" w:hAnsi="Trebuchet MS"/>
                                <w:b/>
                                <w:color w:val="FFFFFF" w:themeColor="background1"/>
                                <w:sz w:val="24"/>
                              </w:rPr>
                            </w:pPr>
                            <w:hyperlink r:id="rId12" w:history="1">
                              <w:r w:rsidR="00142045" w:rsidRPr="00423FF3">
                                <w:rPr>
                                  <w:rStyle w:val="Hyperlink"/>
                                  <w:color w:val="FFFFFF" w:themeColor="background1"/>
                                  <w:u w:val="none"/>
                                </w:rPr>
                                <w:t>View all CDE fact sheets</w:t>
                              </w:r>
                            </w:hyperlink>
                            <w:r w:rsidR="00142045" w:rsidRPr="00423FF3">
                              <w:rPr>
                                <w:color w:val="FFFFFF" w:themeColor="background1"/>
                              </w:rPr>
                              <w:t xml:space="preserve">: </w:t>
                            </w:r>
                            <w:hyperlink r:id="rId13" w:history="1">
                              <w:r w:rsidR="000F2BA3" w:rsidRPr="00423FF3">
                                <w:rPr>
                                  <w:rStyle w:val="Hyperlink"/>
                                  <w:color w:val="FFFFFF" w:themeColor="background1"/>
                                </w:rPr>
                                <w:t>www.cde.state.co.us/communications/factsheetsandfaqs</w:t>
                              </w:r>
                            </w:hyperlink>
                            <w:r w:rsidR="000F2BA3" w:rsidRPr="00423FF3">
                              <w:rPr>
                                <w:color w:val="FFFFFF" w:themeColor="background1"/>
                              </w:rPr>
                              <w:t xml:space="preserve"> </w:t>
                            </w: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1678F" id="Text Box 1" o:spid="_x0000_s1027" type="#_x0000_t202" style="position:absolute;margin-left:0;margin-top:316.5pt;width:612pt;height:117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" fillcolor="#0070c0" stroked="f">
                <v:textbox inset="57.6pt,14.4pt,57.6pt,14.4pt">
                  <w:txbxContent>
                    <w:p w:rsidR="00142045" w:rsidRDefault="00142045" w:rsidP="00142045">
                      <w:pPr>
                        <w:pStyle w:val="Heading2"/>
                      </w:pPr>
                      <w:r>
                        <w:t>Where can I learn more?</w:t>
                      </w:r>
                    </w:p>
                    <w:p w:rsidR="00423FF3" w:rsidRPr="00423FF3" w:rsidRDefault="00423FF3" w:rsidP="00142045">
                      <w:pPr>
                        <w:pStyle w:val="ListParagraph"/>
                        <w:numPr>
                          <w:ilvl w:val="0"/>
                          <w:numId w:val="10"/>
                        </w:numPr>
                        <w:spacing w:after="120"/>
                        <w:rPr>
                          <w:rStyle w:val="Hyperlink"/>
                          <w:rFonts w:ascii="Trebuchet MS" w:hAnsi="Trebuchet MS"/>
                          <w:b/>
                          <w:color w:val="FFFFFF" w:themeColor="background1"/>
                          <w:sz w:val="24"/>
                          <w:u w:val="none"/>
                        </w:rPr>
                      </w:pPr>
                      <w:r w:rsidRPr="00423FF3">
                        <w:rPr>
                          <w:color w:val="FFFFFF" w:themeColor="background1"/>
                        </w:rPr>
                        <w:t xml:space="preserve">CDE staff can help schools and districts understand each potential action, how they can review options, and meet requirements.  Reach out to your </w:t>
                      </w:r>
                      <w:hyperlink r:id="rId14" w:history="1">
                        <w:r w:rsidRPr="00423FF3">
                          <w:rPr>
                            <w:rStyle w:val="Hyperlink"/>
                            <w:color w:val="FFFFFF" w:themeColor="background1"/>
                          </w:rPr>
                          <w:t>CDE Support Coordinator</w:t>
                        </w:r>
                      </w:hyperlink>
                    </w:p>
                    <w:p w:rsidR="00142045" w:rsidRPr="00423FF3" w:rsidRDefault="00F80F3D" w:rsidP="00142045">
                      <w:pPr>
                        <w:pStyle w:val="ListParagraph"/>
                        <w:numPr>
                          <w:ilvl w:val="0"/>
                          <w:numId w:val="10"/>
                        </w:numPr>
                        <w:spacing w:after="120"/>
                        <w:rPr>
                          <w:rFonts w:ascii="Trebuchet MS" w:hAnsi="Trebuchet MS"/>
                          <w:b/>
                          <w:color w:val="FFFFFF" w:themeColor="background1"/>
                          <w:sz w:val="24"/>
                        </w:rPr>
                      </w:pPr>
                      <w:r w:rsidRPr="00423FF3">
                        <w:rPr>
                          <w:color w:val="FFFFFF" w:themeColor="background1"/>
                          <w:szCs w:val="22"/>
                        </w:rPr>
                        <w:t xml:space="preserve">CDE Accountability, Performance and Support resources:  </w:t>
                      </w:r>
                      <w:hyperlink r:id="rId15" w:history="1">
                        <w:r w:rsidRPr="00423FF3">
                          <w:rPr>
                            <w:rStyle w:val="Hyperlink"/>
                            <w:color w:val="FFFFFF" w:themeColor="background1"/>
                          </w:rPr>
                          <w:t>https://www.cde.state.co.us/accountability</w:t>
                        </w:r>
                      </w:hyperlink>
                    </w:p>
                    <w:p w:rsidR="00142045" w:rsidRPr="00423FF3" w:rsidRDefault="005D4754" w:rsidP="00142045">
                      <w:pPr>
                        <w:pStyle w:val="ListParagraph"/>
                        <w:numPr>
                          <w:ilvl w:val="0"/>
                          <w:numId w:val="6"/>
                        </w:numPr>
                        <w:spacing w:after="120"/>
                        <w:rPr>
                          <w:rFonts w:ascii="Trebuchet MS" w:hAnsi="Trebuchet MS"/>
                          <w:b/>
                          <w:color w:val="FFFFFF" w:themeColor="background1"/>
                          <w:sz w:val="24"/>
                        </w:rPr>
                      </w:pPr>
                      <w:hyperlink r:id="rId16" w:history="1">
                        <w:r w:rsidR="00142045" w:rsidRPr="00423FF3">
                          <w:rPr>
                            <w:rStyle w:val="Hyperlink"/>
                            <w:color w:val="FFFFFF" w:themeColor="background1"/>
                            <w:u w:val="none"/>
                          </w:rPr>
                          <w:t>View all CDE fact sheets</w:t>
                        </w:r>
                      </w:hyperlink>
                      <w:r w:rsidR="00142045" w:rsidRPr="00423FF3">
                        <w:rPr>
                          <w:color w:val="FFFFFF" w:themeColor="background1"/>
                        </w:rPr>
                        <w:t xml:space="preserve">: </w:t>
                      </w:r>
                      <w:hyperlink r:id="rId17" w:history="1">
                        <w:r w:rsidR="000F2BA3" w:rsidRPr="00423FF3">
                          <w:rPr>
                            <w:rStyle w:val="Hyperlink"/>
                            <w:color w:val="FFFFFF" w:themeColor="background1"/>
                          </w:rPr>
                          <w:t>www.cde.state.co.us/communications/factsheetsandfaqs</w:t>
                        </w:r>
                      </w:hyperlink>
                      <w:r w:rsidR="000F2BA3" w:rsidRPr="00423FF3">
                        <w:rPr>
                          <w:color w:val="FFFFFF" w:themeColor="background1"/>
                        </w:rPr>
                        <w:t xml:space="preserve"> </w:t>
                      </w:r>
                    </w:p>
                  </w:txbxContent>
                </v:textbox>
                <w10:wrap type="tight" anchorx="page"/>
              </v:shape>
            </w:pict>
          </mc:Fallback>
        </mc:AlternateContent>
      </w:r>
      <w:r w:rsidR="00FD68D6">
        <w:br w:type="page"/>
      </w:r>
    </w:p>
    <w:p w:rsidR="00FD68D6" w:rsidRDefault="00FD68D6">
      <w:pPr>
        <w:rPr>
          <w:rFonts w:eastAsiaTheme="minorHAnsi" w:cs="Calibri"/>
          <w:color w:val="4E5758"/>
          <w:szCs w:val="22"/>
        </w:rPr>
      </w:pPr>
    </w:p>
    <w:p w:rsidR="00FD68D6" w:rsidRPr="000F16D2" w:rsidRDefault="002332BE" w:rsidP="000F16D2">
      <w:pPr>
        <w:pStyle w:val="Body"/>
        <w:jc w:val="center"/>
        <w:rPr>
          <w:b/>
          <w:color w:val="2E3338" w:themeColor="text1" w:themeShade="80"/>
          <w:sz w:val="28"/>
          <w:szCs w:val="28"/>
        </w:rPr>
      </w:pPr>
      <w:r w:rsidRPr="000F16D2">
        <w:rPr>
          <w:b/>
          <w:color w:val="2E3338" w:themeColor="text1" w:themeShade="80"/>
          <w:sz w:val="28"/>
          <w:szCs w:val="28"/>
        </w:rPr>
        <w:t>Year 4 Accountability Clock Form</w:t>
      </w:r>
    </w:p>
    <w:p w:rsidR="00546D85" w:rsidRDefault="005747E8" w:rsidP="007B38CB">
      <w:pPr>
        <w:pStyle w:val="Body"/>
      </w:pPr>
      <w:r>
        <w:t xml:space="preserve">Upload this form into the school/district online UIP </w:t>
      </w:r>
      <w:r w:rsidR="00755CAD">
        <w:t>under “Add Att</w:t>
      </w:r>
      <w:r>
        <w:t>achment</w:t>
      </w:r>
      <w:r w:rsidR="00755CAD">
        <w:t>”</w:t>
      </w:r>
      <w:r>
        <w:t xml:space="preserve">.  Contact the Improvement Planning office or </w:t>
      </w:r>
      <w:proofErr w:type="gramStart"/>
      <w:r>
        <w:t>your</w:t>
      </w:r>
      <w:proofErr w:type="gramEnd"/>
      <w:r>
        <w:t xml:space="preserve"> assigned Support Coordinator with any questions.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5"/>
        <w:gridCol w:w="1980"/>
        <w:gridCol w:w="1260"/>
        <w:gridCol w:w="540"/>
        <w:gridCol w:w="900"/>
        <w:gridCol w:w="1170"/>
        <w:gridCol w:w="1260"/>
        <w:gridCol w:w="1514"/>
      </w:tblGrid>
      <w:tr w:rsidR="002332BE" w:rsidTr="00D17FC7">
        <w:trPr>
          <w:trHeight w:hRule="exact" w:val="340"/>
        </w:trPr>
        <w:tc>
          <w:tcPr>
            <w:tcW w:w="1785" w:type="dxa"/>
            <w:shd w:val="clear" w:color="auto" w:fill="D9D9D9" w:themeFill="background1" w:themeFillShade="D9"/>
          </w:tcPr>
          <w:p w:rsidR="002332BE" w:rsidRPr="00B365E3" w:rsidRDefault="002332BE" w:rsidP="004D0255">
            <w:pPr>
              <w:pStyle w:val="TableParagraph"/>
              <w:spacing w:before="61"/>
              <w:ind w:left="0" w:right="102"/>
              <w:jc w:val="right"/>
              <w:rPr>
                <w:b/>
              </w:rPr>
            </w:pPr>
            <w:r>
              <w:rPr>
                <w:b/>
              </w:rPr>
              <w:t>District</w:t>
            </w:r>
            <w:r w:rsidRPr="00B365E3">
              <w:rPr>
                <w:b/>
              </w:rPr>
              <w:t xml:space="preserve"> Name:</w:t>
            </w:r>
          </w:p>
        </w:tc>
        <w:tc>
          <w:tcPr>
            <w:tcW w:w="3240" w:type="dxa"/>
            <w:gridSpan w:val="2"/>
          </w:tcPr>
          <w:p w:rsidR="002332BE" w:rsidRPr="00B365E3" w:rsidRDefault="002332BE" w:rsidP="004D0255">
            <w:pPr>
              <w:rPr>
                <w:szCs w:val="22"/>
              </w:rPr>
            </w:pPr>
          </w:p>
        </w:tc>
        <w:tc>
          <w:tcPr>
            <w:tcW w:w="1440" w:type="dxa"/>
            <w:gridSpan w:val="2"/>
            <w:shd w:val="clear" w:color="auto" w:fill="BFBFBF" w:themeFill="background1" w:themeFillShade="BF"/>
          </w:tcPr>
          <w:p w:rsidR="002332BE" w:rsidRPr="00B365E3" w:rsidRDefault="002332BE" w:rsidP="000F16D2">
            <w:pPr>
              <w:pStyle w:val="TableParagraph"/>
              <w:spacing w:before="61"/>
              <w:ind w:left="0" w:right="102"/>
              <w:jc w:val="right"/>
            </w:pPr>
            <w:r w:rsidRPr="000F16D2">
              <w:rPr>
                <w:b/>
              </w:rPr>
              <w:t>School Name</w:t>
            </w:r>
            <w:r>
              <w:rPr>
                <w:b/>
              </w:rPr>
              <w:t>:</w:t>
            </w:r>
          </w:p>
        </w:tc>
        <w:tc>
          <w:tcPr>
            <w:tcW w:w="3944" w:type="dxa"/>
            <w:gridSpan w:val="3"/>
          </w:tcPr>
          <w:p w:rsidR="002332BE" w:rsidRPr="00B365E3" w:rsidRDefault="002332BE" w:rsidP="004D0255">
            <w:pPr>
              <w:rPr>
                <w:szCs w:val="22"/>
              </w:rPr>
            </w:pPr>
          </w:p>
        </w:tc>
      </w:tr>
      <w:tr w:rsidR="002332BE" w:rsidTr="00D17FC7">
        <w:trPr>
          <w:trHeight w:hRule="exact" w:val="910"/>
        </w:trPr>
        <w:tc>
          <w:tcPr>
            <w:tcW w:w="1785" w:type="dxa"/>
            <w:shd w:val="clear" w:color="auto" w:fill="D9D9D9" w:themeFill="background1" w:themeFillShade="D9"/>
          </w:tcPr>
          <w:p w:rsidR="002332BE" w:rsidRPr="00B365E3" w:rsidRDefault="002332BE" w:rsidP="002332BE">
            <w:pPr>
              <w:pStyle w:val="TableParagraph"/>
              <w:spacing w:before="61"/>
              <w:ind w:left="134" w:right="102" w:firstLine="216"/>
              <w:jc w:val="right"/>
              <w:rPr>
                <w:b/>
              </w:rPr>
            </w:pPr>
            <w:r w:rsidRPr="00B365E3">
              <w:rPr>
                <w:b/>
              </w:rPr>
              <w:t xml:space="preserve">Names &amp; roles of </w:t>
            </w:r>
            <w:r w:rsidR="00755CAD">
              <w:rPr>
                <w:b/>
              </w:rPr>
              <w:t>l</w:t>
            </w:r>
            <w:r w:rsidRPr="00B365E3">
              <w:rPr>
                <w:b/>
              </w:rPr>
              <w:t>eaders completing form:</w:t>
            </w:r>
          </w:p>
        </w:tc>
        <w:tc>
          <w:tcPr>
            <w:tcW w:w="8624" w:type="dxa"/>
            <w:gridSpan w:val="7"/>
          </w:tcPr>
          <w:p w:rsidR="002332BE" w:rsidRPr="00B365E3" w:rsidRDefault="002332BE" w:rsidP="004D0255">
            <w:pPr>
              <w:rPr>
                <w:szCs w:val="22"/>
              </w:rPr>
            </w:pPr>
          </w:p>
        </w:tc>
      </w:tr>
      <w:tr w:rsidR="00F80F3D" w:rsidTr="00EC5A0B">
        <w:trPr>
          <w:trHeight w:hRule="exact" w:val="1000"/>
        </w:trPr>
        <w:tc>
          <w:tcPr>
            <w:tcW w:w="10409" w:type="dxa"/>
            <w:gridSpan w:val="8"/>
            <w:shd w:val="clear" w:color="auto" w:fill="D9D9D9"/>
          </w:tcPr>
          <w:p w:rsidR="00112E05" w:rsidRPr="00B365E3" w:rsidRDefault="002332BE" w:rsidP="00894267">
            <w:pPr>
              <w:pStyle w:val="TableParagraph"/>
              <w:spacing w:before="59"/>
              <w:ind w:right="630"/>
              <w:rPr>
                <w:b/>
              </w:rPr>
            </w:pPr>
            <w:r>
              <w:rPr>
                <w:b/>
              </w:rPr>
              <w:t>D</w:t>
            </w:r>
            <w:r w:rsidR="00F80F3D">
              <w:rPr>
                <w:b/>
              </w:rPr>
              <w:t>escribe</w:t>
            </w:r>
            <w:r w:rsidR="00FD68D6">
              <w:rPr>
                <w:b/>
              </w:rPr>
              <w:t xml:space="preserve"> the preferred</w:t>
            </w:r>
            <w:r w:rsidR="00F80F3D">
              <w:rPr>
                <w:b/>
              </w:rPr>
              <w:t xml:space="preserve"> </w:t>
            </w:r>
            <w:r w:rsidR="00FD68D6">
              <w:rPr>
                <w:b/>
              </w:rPr>
              <w:t>action(s)</w:t>
            </w:r>
            <w:r w:rsidR="008B47C5">
              <w:rPr>
                <w:b/>
              </w:rPr>
              <w:t>,</w:t>
            </w:r>
            <w:r w:rsidR="00FD68D6">
              <w:rPr>
                <w:b/>
              </w:rPr>
              <w:t xml:space="preserve"> including a</w:t>
            </w:r>
            <w:r w:rsidR="00894267">
              <w:rPr>
                <w:b/>
              </w:rPr>
              <w:t xml:space="preserve">n </w:t>
            </w:r>
            <w:r w:rsidR="00FD68D6">
              <w:rPr>
                <w:b/>
              </w:rPr>
              <w:t xml:space="preserve">explanation of </w:t>
            </w:r>
            <w:r w:rsidR="00894267">
              <w:rPr>
                <w:b/>
              </w:rPr>
              <w:t xml:space="preserve">the rationale, </w:t>
            </w:r>
            <w:r w:rsidR="00FD68D6">
              <w:rPr>
                <w:b/>
              </w:rPr>
              <w:t>viability,</w:t>
            </w:r>
            <w:r w:rsidR="00894267">
              <w:rPr>
                <w:b/>
              </w:rPr>
              <w:t xml:space="preserve"> and basic </w:t>
            </w:r>
            <w:r w:rsidR="00FD68D6">
              <w:rPr>
                <w:b/>
              </w:rPr>
              <w:t>implementation</w:t>
            </w:r>
            <w:r w:rsidR="00894267">
              <w:rPr>
                <w:b/>
              </w:rPr>
              <w:t>.  Include a description of the r</w:t>
            </w:r>
            <w:r w:rsidR="00FD68D6">
              <w:rPr>
                <w:b/>
              </w:rPr>
              <w:t>ole of the district</w:t>
            </w:r>
            <w:r w:rsidR="00894267">
              <w:rPr>
                <w:b/>
              </w:rPr>
              <w:t>, stakeholder engagement</w:t>
            </w:r>
            <w:r w:rsidR="00FD68D6">
              <w:rPr>
                <w:b/>
              </w:rPr>
              <w:t xml:space="preserve"> and possible barriers. </w:t>
            </w:r>
          </w:p>
        </w:tc>
      </w:tr>
      <w:tr w:rsidR="00D17FC7" w:rsidTr="00D17FC7">
        <w:trPr>
          <w:trHeight w:hRule="exact" w:val="973"/>
        </w:trPr>
        <w:tc>
          <w:tcPr>
            <w:tcW w:w="1785" w:type="dxa"/>
            <w:shd w:val="clear" w:color="auto" w:fill="F3AA00" w:themeFill="accent2" w:themeFillShade="BF"/>
            <w:vAlign w:val="center"/>
          </w:tcPr>
          <w:p w:rsidR="00D17FC7" w:rsidRPr="00D17FC7" w:rsidRDefault="00D17FC7" w:rsidP="00D17FC7">
            <w:pPr>
              <w:pStyle w:val="TableParagraph"/>
              <w:spacing w:before="59"/>
              <w:ind w:right="90"/>
              <w:jc w:val="center"/>
            </w:pPr>
            <w:r w:rsidRPr="00D17FC7">
              <w:t>Innovation Status</w:t>
            </w:r>
          </w:p>
        </w:tc>
        <w:tc>
          <w:tcPr>
            <w:tcW w:w="1980" w:type="dxa"/>
            <w:shd w:val="clear" w:color="auto" w:fill="B778A3" w:themeFill="accent4" w:themeFillTint="99"/>
            <w:vAlign w:val="center"/>
          </w:tcPr>
          <w:p w:rsidR="00D17FC7" w:rsidRPr="00D17FC7" w:rsidRDefault="00D17FC7" w:rsidP="00D17FC7">
            <w:pPr>
              <w:pStyle w:val="TableParagraph"/>
              <w:tabs>
                <w:tab w:val="left" w:pos="1530"/>
              </w:tabs>
              <w:spacing w:before="59"/>
              <w:ind w:right="90"/>
              <w:jc w:val="center"/>
            </w:pPr>
            <w:r w:rsidRPr="00D17FC7">
              <w:t>External Management</w:t>
            </w:r>
          </w:p>
        </w:tc>
        <w:tc>
          <w:tcPr>
            <w:tcW w:w="1800" w:type="dxa"/>
            <w:gridSpan w:val="2"/>
            <w:shd w:val="clear" w:color="auto" w:fill="D1E8B2" w:themeFill="accent3" w:themeFillTint="66"/>
            <w:vAlign w:val="center"/>
          </w:tcPr>
          <w:p w:rsidR="00D17FC7" w:rsidRPr="00D17FC7" w:rsidRDefault="00D17FC7" w:rsidP="00D17FC7">
            <w:pPr>
              <w:pStyle w:val="TableParagraph"/>
              <w:spacing w:before="59"/>
              <w:ind w:right="90"/>
              <w:jc w:val="center"/>
            </w:pPr>
            <w:r w:rsidRPr="00D17FC7">
              <w:t>Convert to a Charter School</w:t>
            </w:r>
            <w:r w:rsidRPr="00D17FC7">
              <w:br/>
            </w:r>
            <w:r w:rsidRPr="00D17FC7">
              <w:rPr>
                <w:sz w:val="16"/>
                <w:szCs w:val="16"/>
              </w:rPr>
              <w:t>For Non-Charters Only</w:t>
            </w:r>
          </w:p>
        </w:tc>
        <w:tc>
          <w:tcPr>
            <w:tcW w:w="2070" w:type="dxa"/>
            <w:gridSpan w:val="2"/>
            <w:shd w:val="clear" w:color="auto" w:fill="91B9DE" w:themeFill="accent1" w:themeFillTint="99"/>
            <w:vAlign w:val="center"/>
          </w:tcPr>
          <w:p w:rsidR="00D17FC7" w:rsidRPr="00D17FC7" w:rsidRDefault="00D17FC7" w:rsidP="00D17FC7">
            <w:pPr>
              <w:pStyle w:val="TableParagraph"/>
              <w:spacing w:before="59"/>
              <w:ind w:right="90"/>
              <w:jc w:val="center"/>
            </w:pPr>
            <w:r w:rsidRPr="00D17FC7">
              <w:t>Change Charter Operator or Board</w:t>
            </w:r>
            <w:r w:rsidRPr="00D17FC7">
              <w:br/>
            </w:r>
            <w:r w:rsidRPr="00D17FC7">
              <w:rPr>
                <w:sz w:val="16"/>
                <w:szCs w:val="16"/>
              </w:rPr>
              <w:t>For Existing Charters Only</w:t>
            </w:r>
          </w:p>
        </w:tc>
        <w:tc>
          <w:tcPr>
            <w:tcW w:w="1260" w:type="dxa"/>
            <w:shd w:val="clear" w:color="auto" w:fill="EF7521" w:themeFill="accent6"/>
            <w:vAlign w:val="center"/>
          </w:tcPr>
          <w:p w:rsidR="00D17FC7" w:rsidRPr="00D17FC7" w:rsidRDefault="00D17FC7" w:rsidP="00D17FC7">
            <w:pPr>
              <w:pStyle w:val="TableParagraph"/>
              <w:spacing w:before="59"/>
              <w:ind w:right="90"/>
              <w:jc w:val="center"/>
            </w:pPr>
            <w:r w:rsidRPr="00D17FC7">
              <w:t>School Closure</w:t>
            </w:r>
          </w:p>
        </w:tc>
        <w:tc>
          <w:tcPr>
            <w:tcW w:w="1514" w:type="dxa"/>
            <w:shd w:val="clear" w:color="auto" w:fill="AB9D7F" w:themeFill="background2" w:themeFillShade="BF"/>
            <w:vAlign w:val="center"/>
          </w:tcPr>
          <w:p w:rsidR="00D17FC7" w:rsidRPr="00D17FC7" w:rsidRDefault="00D17FC7" w:rsidP="00D17FC7">
            <w:pPr>
              <w:pStyle w:val="TableParagraph"/>
              <w:spacing w:before="59"/>
              <w:ind w:left="0" w:right="74"/>
              <w:jc w:val="center"/>
            </w:pPr>
            <w:r w:rsidRPr="00D17FC7">
              <w:t>District Reorganization</w:t>
            </w:r>
            <w:r w:rsidRPr="00D17FC7">
              <w:br/>
            </w:r>
            <w:r w:rsidRPr="00D17FC7">
              <w:rPr>
                <w:sz w:val="16"/>
                <w:szCs w:val="16"/>
              </w:rPr>
              <w:t>For District Only</w:t>
            </w:r>
          </w:p>
        </w:tc>
      </w:tr>
      <w:tr w:rsidR="00F80F3D" w:rsidTr="000F16D2">
        <w:trPr>
          <w:trHeight w:hRule="exact" w:val="1612"/>
        </w:trPr>
        <w:tc>
          <w:tcPr>
            <w:tcW w:w="10409" w:type="dxa"/>
            <w:gridSpan w:val="8"/>
            <w:shd w:val="clear" w:color="auto" w:fill="auto"/>
          </w:tcPr>
          <w:p w:rsidR="00415E9F" w:rsidRPr="00B365E3" w:rsidRDefault="00415E9F" w:rsidP="004D0255">
            <w:pPr>
              <w:pStyle w:val="TableParagraph"/>
              <w:spacing w:before="59"/>
              <w:ind w:right="630"/>
              <w:rPr>
                <w:b/>
              </w:rPr>
            </w:pPr>
          </w:p>
        </w:tc>
      </w:tr>
      <w:tr w:rsidR="00894267" w:rsidTr="000F16D2">
        <w:trPr>
          <w:trHeight w:hRule="exact" w:val="460"/>
        </w:trPr>
        <w:tc>
          <w:tcPr>
            <w:tcW w:w="10409" w:type="dxa"/>
            <w:gridSpan w:val="8"/>
            <w:shd w:val="clear" w:color="auto" w:fill="BFBFBF" w:themeFill="background1" w:themeFillShade="BF"/>
          </w:tcPr>
          <w:p w:rsidR="00894267" w:rsidRPr="00B365E3" w:rsidRDefault="00894267" w:rsidP="004D0255">
            <w:pPr>
              <w:pStyle w:val="TableParagraph"/>
              <w:spacing w:before="59"/>
              <w:ind w:right="630"/>
              <w:rPr>
                <w:b/>
              </w:rPr>
            </w:pPr>
            <w:r>
              <w:rPr>
                <w:b/>
              </w:rPr>
              <w:t>Describe any current practices the school/district is implementing that supports the preferred action(s).</w:t>
            </w:r>
          </w:p>
        </w:tc>
      </w:tr>
      <w:tr w:rsidR="00894267" w:rsidTr="000F16D2">
        <w:trPr>
          <w:trHeight w:hRule="exact" w:val="1792"/>
        </w:trPr>
        <w:tc>
          <w:tcPr>
            <w:tcW w:w="10409" w:type="dxa"/>
            <w:gridSpan w:val="8"/>
            <w:shd w:val="clear" w:color="auto" w:fill="auto"/>
          </w:tcPr>
          <w:p w:rsidR="00894267" w:rsidRPr="00B365E3" w:rsidRDefault="00894267" w:rsidP="004D0255">
            <w:pPr>
              <w:pStyle w:val="TableParagraph"/>
              <w:spacing w:before="59"/>
              <w:ind w:right="630"/>
              <w:rPr>
                <w:b/>
              </w:rPr>
            </w:pPr>
          </w:p>
        </w:tc>
      </w:tr>
      <w:tr w:rsidR="00E355DA" w:rsidTr="00E355DA">
        <w:trPr>
          <w:trHeight w:hRule="exact" w:val="640"/>
        </w:trPr>
        <w:tc>
          <w:tcPr>
            <w:tcW w:w="10409" w:type="dxa"/>
            <w:gridSpan w:val="8"/>
            <w:shd w:val="clear" w:color="auto" w:fill="BFBFBF" w:themeFill="background1" w:themeFillShade="BF"/>
          </w:tcPr>
          <w:p w:rsidR="00E355DA" w:rsidRPr="00B365E3" w:rsidRDefault="00894267" w:rsidP="00E92F47">
            <w:pPr>
              <w:pStyle w:val="TableParagraph"/>
              <w:spacing w:before="59"/>
              <w:ind w:right="630"/>
              <w:rPr>
                <w:b/>
              </w:rPr>
            </w:pPr>
            <w:r>
              <w:rPr>
                <w:b/>
              </w:rPr>
              <w:t>Describe the process used to consider the remaining applicable options and a rationale for why they may not be preferred actions at this point in time.</w:t>
            </w:r>
          </w:p>
        </w:tc>
      </w:tr>
      <w:tr w:rsidR="00E355DA" w:rsidTr="000F16D2">
        <w:trPr>
          <w:trHeight w:hRule="exact" w:val="2152"/>
        </w:trPr>
        <w:tc>
          <w:tcPr>
            <w:tcW w:w="10409" w:type="dxa"/>
            <w:gridSpan w:val="8"/>
            <w:shd w:val="clear" w:color="auto" w:fill="auto"/>
          </w:tcPr>
          <w:p w:rsidR="00E355DA" w:rsidRPr="00B365E3" w:rsidRDefault="00E355DA" w:rsidP="004D0255">
            <w:pPr>
              <w:pStyle w:val="TableParagraph"/>
              <w:spacing w:before="59"/>
              <w:ind w:right="630"/>
              <w:rPr>
                <w:b/>
              </w:rPr>
            </w:pPr>
          </w:p>
        </w:tc>
      </w:tr>
    </w:tbl>
    <w:p w:rsidR="00142045" w:rsidRPr="00F80F3D" w:rsidRDefault="00142045" w:rsidP="00E355DA">
      <w:pPr>
        <w:pStyle w:val="Footer"/>
        <w:rPr>
          <w:color w:val="5C6670" w:themeColor="text1"/>
          <w:sz w:val="18"/>
          <w:szCs w:val="18"/>
        </w:rPr>
      </w:pPr>
    </w:p>
    <w:sectPr w:rsidR="00142045" w:rsidRPr="00F80F3D" w:rsidSect="000F16D2">
      <w:headerReference w:type="default" r:id="rId18"/>
      <w:footerReference w:type="default" r:id="rId19"/>
      <w:headerReference w:type="first" r:id="rId20"/>
      <w:footerReference w:type="first" r:id="rId21"/>
      <w:pgSz w:w="12240" w:h="15840"/>
      <w:pgMar w:top="1440" w:right="720" w:bottom="288" w:left="720" w:header="14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54" w:rsidRDefault="005D4754" w:rsidP="00715744">
      <w:r>
        <w:separator/>
      </w:r>
    </w:p>
    <w:p w:rsidR="005D4754" w:rsidRDefault="005D4754"/>
  </w:endnote>
  <w:endnote w:type="continuationSeparator" w:id="0">
    <w:p w:rsidR="005D4754" w:rsidRDefault="005D4754" w:rsidP="00715744">
      <w:r>
        <w:continuationSeparator/>
      </w:r>
    </w:p>
    <w:p w:rsidR="005D4754" w:rsidRDefault="005D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DE" w:rsidRDefault="004423DE" w:rsidP="002B3B48">
    <w:pPr>
      <w:pStyle w:val="Footer"/>
      <w:jc w:val="right"/>
      <w:rPr>
        <w:color w:val="5C6670" w:themeColor="text1"/>
        <w:sz w:val="18"/>
        <w:szCs w:val="18"/>
      </w:rPr>
    </w:pPr>
  </w:p>
  <w:p w:rsidR="006533BE" w:rsidRPr="002B3B48" w:rsidRDefault="006533BE" w:rsidP="004423DE">
    <w:pPr>
      <w:pStyle w:val="Footer"/>
      <w:ind w:left="-720"/>
      <w:jc w:val="right"/>
      <w:rPr>
        <w:color w:val="5C667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BE" w:rsidRPr="00715744" w:rsidRDefault="008E679B" w:rsidP="00715744">
    <w:pPr>
      <w:pStyle w:val="Footer"/>
      <w:jc w:val="right"/>
      <w:rPr>
        <w:color w:val="5C6670" w:themeColor="text1"/>
        <w:sz w:val="18"/>
        <w:szCs w:val="18"/>
      </w:rPr>
    </w:pPr>
    <w:r>
      <w:rPr>
        <w:color w:val="5C6670" w:themeColor="text1"/>
        <w:sz w:val="18"/>
        <w:szCs w:val="18"/>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54" w:rsidRDefault="005D4754" w:rsidP="00715744">
      <w:r>
        <w:separator/>
      </w:r>
    </w:p>
    <w:p w:rsidR="005D4754" w:rsidRDefault="005D4754"/>
  </w:footnote>
  <w:footnote w:type="continuationSeparator" w:id="0">
    <w:p w:rsidR="005D4754" w:rsidRDefault="005D4754" w:rsidP="00715744">
      <w:r>
        <w:continuationSeparator/>
      </w:r>
    </w:p>
    <w:p w:rsidR="005D4754" w:rsidRDefault="005D4754"/>
  </w:footnote>
  <w:footnote w:id="1">
    <w:p w:rsidR="00F80F3D" w:rsidRDefault="00F80F3D">
      <w:pPr>
        <w:pStyle w:val="FootnoteText"/>
      </w:pPr>
      <w:r>
        <w:rPr>
          <w:rStyle w:val="FootnoteReference"/>
        </w:rPr>
        <w:footnoteRef/>
      </w:r>
      <w:r w:rsidR="006A178A">
        <w:t>HB</w:t>
      </w:r>
      <w:r>
        <w:t xml:space="preserve"> 1355 Fact Sheet: </w:t>
      </w:r>
      <w:hyperlink r:id="rId1" w:history="1">
        <w:r>
          <w:rPr>
            <w:rStyle w:val="Hyperlink"/>
          </w:rPr>
          <w:t>https://www.cde.state.co.us/accountability/housebill1355-factsheet</w:t>
        </w:r>
      </w:hyperlink>
    </w:p>
  </w:footnote>
  <w:footnote w:id="2">
    <w:p w:rsidR="00F80F3D" w:rsidRDefault="00F80F3D" w:rsidP="00F80F3D">
      <w:pPr>
        <w:pStyle w:val="FootnoteText"/>
      </w:pPr>
      <w:r>
        <w:rPr>
          <w:rStyle w:val="FootnoteReference"/>
        </w:rPr>
        <w:footnoteRef/>
      </w:r>
      <w:r>
        <w:t xml:space="preserve"> Colorado Performance Watch: </w:t>
      </w:r>
      <w:hyperlink r:id="rId2" w:history="1">
        <w:r>
          <w:rPr>
            <w:rStyle w:val="Hyperlink"/>
          </w:rPr>
          <w:t>https://www.cde.state.co.us/accountability/accountability_clock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92" w:rsidRDefault="0078070A" w:rsidP="0078070A">
    <w:pPr>
      <w:pStyle w:val="Header"/>
      <w:tabs>
        <w:tab w:val="clear" w:pos="4320"/>
        <w:tab w:val="clear" w:pos="8640"/>
        <w:tab w:val="left" w:pos="1820"/>
        <w:tab w:val="left" w:pos="3440"/>
        <w:tab w:val="left" w:pos="4373"/>
      </w:tabs>
    </w:pPr>
    <w:r>
      <w:rPr>
        <w:noProof/>
      </w:rPr>
      <w:drawing>
        <wp:anchor distT="0" distB="0" distL="114300" distR="114300" simplePos="0" relativeHeight="251675648" behindDoc="0" locked="0" layoutInCell="1" allowOverlap="1" wp14:anchorId="13C79021" wp14:editId="69F11010">
          <wp:simplePos x="0" y="0"/>
          <wp:positionH relativeFrom="column">
            <wp:posOffset>5838825</wp:posOffset>
          </wp:positionH>
          <wp:positionV relativeFrom="paragraph">
            <wp:posOffset>-286385</wp:posOffset>
          </wp:positionV>
          <wp:extent cx="979805" cy="415925"/>
          <wp:effectExtent l="0" t="0" r="0" b="3175"/>
          <wp:wrapNone/>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79B">
      <w:rPr>
        <w:rFonts w:ascii="Museo Slab 500" w:hAnsi="Museo Slab 500"/>
        <w:b/>
        <w:bCs/>
        <w:color w:val="919BA5" w:themeColor="text1" w:themeTint="A6"/>
        <w:sz w:val="18"/>
        <w:szCs w:val="18"/>
      </w:rPr>
      <w:t>Perfor</w:t>
    </w:r>
    <w:r>
      <w:rPr>
        <w:rFonts w:ascii="Museo Slab 500" w:hAnsi="Museo Slab 500"/>
        <w:b/>
        <w:bCs/>
        <w:color w:val="919BA5" w:themeColor="text1" w:themeTint="A6"/>
        <w:sz w:val="18"/>
        <w:szCs w:val="18"/>
      </w:rPr>
      <w:t>mance Watch: Year 4 Requirements</w:t>
    </w:r>
  </w:p>
  <w:p w:rsidR="006533BE" w:rsidRDefault="0082774D" w:rsidP="005363FC">
    <w:pPr>
      <w:pStyle w:val="Header"/>
      <w:tabs>
        <w:tab w:val="clear" w:pos="4320"/>
        <w:tab w:val="clear" w:pos="8640"/>
        <w:tab w:val="left" w:pos="4373"/>
      </w:tabs>
    </w:pPr>
    <w:r>
      <w:pict w14:anchorId="600219FD">
        <v:rect id="_x0000_i1025" style="width:540pt;height:1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A3" w:rsidRDefault="000F16D2" w:rsidP="004423DE">
    <w:pPr>
      <w:pStyle w:val="Header"/>
      <w:ind w:left="-720"/>
    </w:pPr>
    <w:r w:rsidRPr="00587144">
      <w:rPr>
        <w:rFonts w:eastAsia="Calibri" w:cs="Times New Roman"/>
        <w:noProof/>
        <w:szCs w:val="22"/>
      </w:rPr>
      <mc:AlternateContent>
        <mc:Choice Requires="wps">
          <w:drawing>
            <wp:anchor distT="0" distB="0" distL="114300" distR="114300" simplePos="0" relativeHeight="251671552" behindDoc="0" locked="0" layoutInCell="1" allowOverlap="1" wp14:anchorId="4BABF97E" wp14:editId="1F8F36E9">
              <wp:simplePos x="0" y="0"/>
              <wp:positionH relativeFrom="column">
                <wp:posOffset>-76200</wp:posOffset>
              </wp:positionH>
              <wp:positionV relativeFrom="paragraph">
                <wp:posOffset>-694690</wp:posOffset>
              </wp:positionV>
              <wp:extent cx="68580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58000" cy="781050"/>
                      </a:xfrm>
                      <a:prstGeom prst="rect">
                        <a:avLst/>
                      </a:prstGeom>
                      <a:noFill/>
                      <a:ln w="6350">
                        <a:noFill/>
                      </a:ln>
                    </wps:spPr>
                    <wps:txbx>
                      <w:txbxContent>
                        <w:p w:rsidR="008E679B" w:rsidRPr="000F16D2" w:rsidRDefault="00A8061D" w:rsidP="000F16D2">
                          <w:pPr>
                            <w:pStyle w:val="Heading1"/>
                          </w:pPr>
                          <w:r>
                            <w:t>Accountability Clock</w:t>
                          </w:r>
                          <w:r w:rsidR="000F16D2">
                            <w:t xml:space="preserve">: </w:t>
                          </w:r>
                          <w:r w:rsidR="000F16D2">
                            <w:br/>
                            <w:t>Year 4 Requirements</w:t>
                          </w:r>
                          <w:r w:rsidR="009A4952">
                            <w:br/>
                          </w:r>
                          <w:r w:rsidR="008E679B" w:rsidRPr="000F16D2">
                            <w:t>Schools in Year 4</w:t>
                          </w:r>
                          <w:r w:rsidR="00EC5A0B" w:rsidRPr="000F16D2">
                            <w:t>:  Planning for the State Board o</w:t>
                          </w:r>
                          <w:r w:rsidR="00E25BB4" w:rsidRPr="000F16D2">
                            <w:t>f E</w:t>
                          </w:r>
                          <w:r w:rsidR="00EC5A0B" w:rsidRPr="000F16D2">
                            <w:t>ducation Hearing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BF97E" id="_x0000_t202" coordsize="21600,21600" o:spt="202" path="m,l,21600r21600,l21600,xe">
              <v:stroke joinstyle="miter"/>
              <v:path gradientshapeok="t" o:connecttype="rect"/>
            </v:shapetype>
            <v:shape id="Text Box 10" o:spid="_x0000_s1028" type="#_x0000_t202" style="position:absolute;left:0;text-align:left;margin-left:-6pt;margin-top:-54.7pt;width:540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" filled="f" stroked="f" strokeweight=".5pt">
              <v:textbox inset="0,0,0,0">
                <w:txbxContent>
                  <w:p w:rsidR="008E679B" w:rsidRPr="000F16D2" w:rsidRDefault="00A8061D" w:rsidP="000F16D2">
                    <w:pPr>
                      <w:pStyle w:val="Heading1"/>
                    </w:pPr>
                    <w:r>
                      <w:t>Accountability Clock</w:t>
                    </w:r>
                    <w:r w:rsidR="000F16D2">
                      <w:t xml:space="preserve">: </w:t>
                    </w:r>
                    <w:r w:rsidR="000F16D2">
                      <w:br/>
                      <w:t>Year 4 Requirements</w:t>
                    </w:r>
                    <w:r w:rsidR="009A4952">
                      <w:br/>
                    </w:r>
                    <w:r w:rsidR="008E679B" w:rsidRPr="000F16D2">
                      <w:t>Schools in Year 4</w:t>
                    </w:r>
                    <w:r w:rsidR="00EC5A0B" w:rsidRPr="000F16D2">
                      <w:t>:  Planning for the State Board o</w:t>
                    </w:r>
                    <w:r w:rsidR="00E25BB4" w:rsidRPr="000F16D2">
                      <w:t>f E</w:t>
                    </w:r>
                    <w:r w:rsidR="00EC5A0B" w:rsidRPr="000F16D2">
                      <w:t>ducation Hearing</w:t>
                    </w:r>
                  </w:p>
                </w:txbxContent>
              </v:textbox>
            </v:shape>
          </w:pict>
        </mc:Fallback>
      </mc:AlternateContent>
    </w:r>
    <w:r>
      <w:rPr>
        <w:noProof/>
      </w:rPr>
      <w:drawing>
        <wp:anchor distT="0" distB="0" distL="114300" distR="114300" simplePos="0" relativeHeight="251673600" behindDoc="1" locked="0" layoutInCell="1" allowOverlap="1" wp14:anchorId="543A3DD8" wp14:editId="59635FF5">
          <wp:simplePos x="0" y="0"/>
          <wp:positionH relativeFrom="column">
            <wp:posOffset>-876300</wp:posOffset>
          </wp:positionH>
          <wp:positionV relativeFrom="paragraph">
            <wp:posOffset>-1029335</wp:posOffset>
          </wp:positionV>
          <wp:extent cx="7809230" cy="1610360"/>
          <wp:effectExtent l="0" t="0" r="0" b="0"/>
          <wp:wrapNone/>
          <wp:docPr id="65" name="Picture 65"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79B" w:rsidRPr="00FB2F6E">
      <w:rPr>
        <w:noProof/>
      </w:rPr>
      <mc:AlternateContent>
        <mc:Choice Requires="wps">
          <w:drawing>
            <wp:anchor distT="0" distB="0" distL="114300" distR="114300" simplePos="0" relativeHeight="251670528" behindDoc="0" locked="0" layoutInCell="1" allowOverlap="1" wp14:anchorId="546527B3" wp14:editId="47B0D4DE">
              <wp:simplePos x="0" y="0"/>
              <wp:positionH relativeFrom="column">
                <wp:posOffset>-285750</wp:posOffset>
              </wp:positionH>
              <wp:positionV relativeFrom="paragraph">
                <wp:posOffset>635</wp:posOffset>
              </wp:positionV>
              <wp:extent cx="3429000" cy="381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9000" cy="381635"/>
                      </a:xfrm>
                      <a:prstGeom prst="rect">
                        <a:avLst/>
                      </a:prstGeom>
                      <a:noFill/>
                      <a:ln w="6350">
                        <a:noFill/>
                      </a:ln>
                    </wps:spPr>
                    <wps:txbx>
                      <w:txbxContent>
                        <w:p w:rsidR="004423DE" w:rsidRPr="002E5F0E" w:rsidRDefault="004423DE" w:rsidP="00C703E3">
                          <w:pPr>
                            <w:pStyle w:val="Heading3"/>
                            <w:tabs>
                              <w:tab w:val="left" w:pos="720"/>
                            </w:tabs>
                            <w:spacing w:before="360"/>
                            <w:ind w:left="720"/>
                          </w:pPr>
                          <w:r>
                            <w:t>COLORADO DEPARTMENT OF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46527B3" id="Text Box 9" o:spid="_x0000_s1029" type="#_x0000_t202" style="position:absolute;left:0;text-align:left;margin-left:-22.5pt;margin-top:.05pt;width:270pt;height:30.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" filled="f" stroked="f" strokeweight=".5pt">
              <v:textbox inset="0,0,0,0">
                <w:txbxContent>
                  <w:p w:rsidR="004423DE" w:rsidRPr="002E5F0E" w:rsidRDefault="004423DE" w:rsidP="00C703E3">
                    <w:pPr>
                      <w:pStyle w:val="Heading3"/>
                      <w:tabs>
                        <w:tab w:val="left" w:pos="720"/>
                      </w:tabs>
                      <w:spacing w:before="360"/>
                      <w:ind w:left="720"/>
                    </w:pPr>
                    <w:r>
                      <w:t>COLORADO DEPARTMENT OF EDUCATION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8BB"/>
    <w:multiLevelType w:val="hybridMultilevel"/>
    <w:tmpl w:val="E0AE07D6"/>
    <w:lvl w:ilvl="0" w:tplc="189EACDA">
      <w:start w:val="1"/>
      <w:numFmt w:val="bullet"/>
      <w:pStyle w:val="Body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6EC3937"/>
    <w:multiLevelType w:val="hybridMultilevel"/>
    <w:tmpl w:val="84D2F97C"/>
    <w:lvl w:ilvl="0" w:tplc="E7263E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375485"/>
    <w:multiLevelType w:val="hybridMultilevel"/>
    <w:tmpl w:val="806C573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9213B8"/>
    <w:multiLevelType w:val="hybridMultilevel"/>
    <w:tmpl w:val="57DAA648"/>
    <w:lvl w:ilvl="0" w:tplc="04090001">
      <w:start w:val="1"/>
      <w:numFmt w:val="bullet"/>
      <w:lvlText w:val=""/>
      <w:lvlJc w:val="left"/>
      <w:pPr>
        <w:ind w:left="360" w:hanging="360"/>
      </w:pPr>
      <w:rPr>
        <w:rFonts w:ascii="Symbol" w:hAnsi="Symbol" w:hint="default"/>
      </w:rPr>
    </w:lvl>
    <w:lvl w:ilvl="1" w:tplc="D74AE69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071BF"/>
    <w:multiLevelType w:val="hybridMultilevel"/>
    <w:tmpl w:val="E07A47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3A7D73"/>
    <w:multiLevelType w:val="hybridMultilevel"/>
    <w:tmpl w:val="10025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624616"/>
    <w:multiLevelType w:val="hybridMultilevel"/>
    <w:tmpl w:val="06B22936"/>
    <w:lvl w:ilvl="0" w:tplc="42EE1C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65B3FC4"/>
    <w:multiLevelType w:val="hybridMultilevel"/>
    <w:tmpl w:val="E89E9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D835FD"/>
    <w:multiLevelType w:val="hybridMultilevel"/>
    <w:tmpl w:val="BDFC1C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A41697"/>
    <w:multiLevelType w:val="hybridMultilevel"/>
    <w:tmpl w:val="819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0"/>
  </w:num>
  <w:num w:numId="4">
    <w:abstractNumId w:val="9"/>
  </w:num>
  <w:num w:numId="5">
    <w:abstractNumId w:val="10"/>
  </w:num>
  <w:num w:numId="6">
    <w:abstractNumId w:val="3"/>
  </w:num>
  <w:num w:numId="7">
    <w:abstractNumId w:val="7"/>
  </w:num>
  <w:num w:numId="8">
    <w:abstractNumId w:val="0"/>
  </w:num>
  <w:num w:numId="9">
    <w:abstractNumId w:val="12"/>
  </w:num>
  <w:num w:numId="10">
    <w:abstractNumId w:val="8"/>
  </w:num>
  <w:num w:numId="11">
    <w:abstractNumId w:val="11"/>
  </w:num>
  <w:num w:numId="12">
    <w:abstractNumId w:val="2"/>
  </w:num>
  <w:num w:numId="13">
    <w:abstractNumId w:val="1"/>
  </w:num>
  <w:num w:numId="14">
    <w:abstractNumId w:val="5"/>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3"/>
    <w:rsid w:val="00024AA7"/>
    <w:rsid w:val="0004746F"/>
    <w:rsid w:val="00070B89"/>
    <w:rsid w:val="000F16D2"/>
    <w:rsid w:val="000F2BA3"/>
    <w:rsid w:val="00100C29"/>
    <w:rsid w:val="001076C1"/>
    <w:rsid w:val="00112E05"/>
    <w:rsid w:val="00140617"/>
    <w:rsid w:val="00142045"/>
    <w:rsid w:val="001472C2"/>
    <w:rsid w:val="0016007D"/>
    <w:rsid w:val="00186D02"/>
    <w:rsid w:val="001A50C0"/>
    <w:rsid w:val="001D283A"/>
    <w:rsid w:val="001F6088"/>
    <w:rsid w:val="002213A7"/>
    <w:rsid w:val="002332BE"/>
    <w:rsid w:val="00243098"/>
    <w:rsid w:val="0026412F"/>
    <w:rsid w:val="002821B7"/>
    <w:rsid w:val="00294F34"/>
    <w:rsid w:val="0029762E"/>
    <w:rsid w:val="00297951"/>
    <w:rsid w:val="002A13B3"/>
    <w:rsid w:val="002B3B48"/>
    <w:rsid w:val="002B7FBD"/>
    <w:rsid w:val="002F6C0D"/>
    <w:rsid w:val="00381C34"/>
    <w:rsid w:val="003C5DDA"/>
    <w:rsid w:val="003C72EC"/>
    <w:rsid w:val="003F42F9"/>
    <w:rsid w:val="004110D1"/>
    <w:rsid w:val="004155D4"/>
    <w:rsid w:val="00415E9F"/>
    <w:rsid w:val="0042335A"/>
    <w:rsid w:val="00423FF3"/>
    <w:rsid w:val="004423DE"/>
    <w:rsid w:val="00481A14"/>
    <w:rsid w:val="0049770E"/>
    <w:rsid w:val="004A2EF8"/>
    <w:rsid w:val="004C3022"/>
    <w:rsid w:val="005363FC"/>
    <w:rsid w:val="005414AF"/>
    <w:rsid w:val="00546AAC"/>
    <w:rsid w:val="00546D85"/>
    <w:rsid w:val="0057352B"/>
    <w:rsid w:val="005747E8"/>
    <w:rsid w:val="00587144"/>
    <w:rsid w:val="00591EAE"/>
    <w:rsid w:val="005C0951"/>
    <w:rsid w:val="005D4754"/>
    <w:rsid w:val="00624562"/>
    <w:rsid w:val="00633510"/>
    <w:rsid w:val="006461F0"/>
    <w:rsid w:val="006533BE"/>
    <w:rsid w:val="006604B9"/>
    <w:rsid w:val="006A178A"/>
    <w:rsid w:val="006C7398"/>
    <w:rsid w:val="006D0275"/>
    <w:rsid w:val="00715744"/>
    <w:rsid w:val="00731C9D"/>
    <w:rsid w:val="00736A92"/>
    <w:rsid w:val="00745D7A"/>
    <w:rsid w:val="00755CAD"/>
    <w:rsid w:val="0078070A"/>
    <w:rsid w:val="0079066B"/>
    <w:rsid w:val="00797D8E"/>
    <w:rsid w:val="007B38CB"/>
    <w:rsid w:val="00821179"/>
    <w:rsid w:val="00826B88"/>
    <w:rsid w:val="0082774D"/>
    <w:rsid w:val="008428F4"/>
    <w:rsid w:val="00846456"/>
    <w:rsid w:val="008579D7"/>
    <w:rsid w:val="00864DC5"/>
    <w:rsid w:val="00872AA3"/>
    <w:rsid w:val="00882494"/>
    <w:rsid w:val="00894267"/>
    <w:rsid w:val="00897AD2"/>
    <w:rsid w:val="008B47C5"/>
    <w:rsid w:val="008D1EE1"/>
    <w:rsid w:val="008E1B8D"/>
    <w:rsid w:val="008E679B"/>
    <w:rsid w:val="00942392"/>
    <w:rsid w:val="00960C4E"/>
    <w:rsid w:val="0096162F"/>
    <w:rsid w:val="009A4952"/>
    <w:rsid w:val="009B3797"/>
    <w:rsid w:val="00A16A16"/>
    <w:rsid w:val="00A31320"/>
    <w:rsid w:val="00A74CBC"/>
    <w:rsid w:val="00A8061D"/>
    <w:rsid w:val="00A827B0"/>
    <w:rsid w:val="00A969A2"/>
    <w:rsid w:val="00AA71C5"/>
    <w:rsid w:val="00AA7976"/>
    <w:rsid w:val="00AC1803"/>
    <w:rsid w:val="00AD1AD2"/>
    <w:rsid w:val="00AE7E7C"/>
    <w:rsid w:val="00AF6335"/>
    <w:rsid w:val="00B50833"/>
    <w:rsid w:val="00B75D0F"/>
    <w:rsid w:val="00B82660"/>
    <w:rsid w:val="00BA2515"/>
    <w:rsid w:val="00BB17E4"/>
    <w:rsid w:val="00BF62CD"/>
    <w:rsid w:val="00C4391D"/>
    <w:rsid w:val="00C50F78"/>
    <w:rsid w:val="00C56BAF"/>
    <w:rsid w:val="00C7031E"/>
    <w:rsid w:val="00C703E3"/>
    <w:rsid w:val="00CA487A"/>
    <w:rsid w:val="00CB09FF"/>
    <w:rsid w:val="00CB0A4C"/>
    <w:rsid w:val="00CC2F33"/>
    <w:rsid w:val="00CC5F88"/>
    <w:rsid w:val="00D1749B"/>
    <w:rsid w:val="00D17FC7"/>
    <w:rsid w:val="00D27FAA"/>
    <w:rsid w:val="00D319FB"/>
    <w:rsid w:val="00D3357A"/>
    <w:rsid w:val="00D515B8"/>
    <w:rsid w:val="00D869AC"/>
    <w:rsid w:val="00D93ED1"/>
    <w:rsid w:val="00DB46F9"/>
    <w:rsid w:val="00DD5FA3"/>
    <w:rsid w:val="00E23FAD"/>
    <w:rsid w:val="00E25BB4"/>
    <w:rsid w:val="00E355DA"/>
    <w:rsid w:val="00E50E24"/>
    <w:rsid w:val="00E92333"/>
    <w:rsid w:val="00E92F47"/>
    <w:rsid w:val="00EC5A0B"/>
    <w:rsid w:val="00F43ECA"/>
    <w:rsid w:val="00F613A8"/>
    <w:rsid w:val="00F70D5B"/>
    <w:rsid w:val="00F75245"/>
    <w:rsid w:val="00F80F3D"/>
    <w:rsid w:val="00F93ADD"/>
    <w:rsid w:val="00F94F78"/>
    <w:rsid w:val="00FB2F6E"/>
    <w:rsid w:val="00FC7E96"/>
    <w:rsid w:val="00FD1B96"/>
    <w:rsid w:val="00FD68D6"/>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0F16D2"/>
    <w:pPr>
      <w:pBdr>
        <w:bottom w:val="single" w:sz="8" w:space="29" w:color="9AA3AC" w:themeColor="text1" w:themeTint="99"/>
      </w:pBdr>
      <w:tabs>
        <w:tab w:val="left" w:pos="90"/>
      </w:tabs>
      <w:spacing w:before="120"/>
      <w:ind w:left="720" w:hanging="360"/>
      <w:outlineLvl w:val="0"/>
    </w:pPr>
    <w:rPr>
      <w:rFonts w:ascii="Museo Slab 500" w:eastAsiaTheme="minorHAnsi" w:hAnsi="Museo Slab 500"/>
      <w:bCs/>
      <w:color w:val="FFFFFF" w:themeColor="background1"/>
      <w:sz w:val="44"/>
      <w:szCs w:val="44"/>
    </w:rPr>
  </w:style>
  <w:style w:type="paragraph" w:styleId="Heading2">
    <w:name w:val="heading 2"/>
    <w:basedOn w:val="Normal"/>
    <w:next w:val="Normal"/>
    <w:link w:val="Heading2Char"/>
    <w:uiPriority w:val="9"/>
    <w:unhideWhenUsed/>
    <w:qFormat/>
    <w:rsid w:val="00CB0A4C"/>
    <w:pPr>
      <w:keepNext/>
      <w:keepLines/>
      <w:spacing w:before="120"/>
      <w:outlineLvl w:val="1"/>
    </w:pPr>
    <w:rPr>
      <w:rFonts w:ascii="Museo Slab 500" w:eastAsiaTheme="majorEastAsia" w:hAnsi="Museo Slab 500" w:cstheme="majorBidi"/>
      <w:b/>
      <w:bCs/>
      <w:color w:val="FFFFFF" w:themeColor="background1"/>
      <w:sz w:val="32"/>
      <w:szCs w:val="26"/>
    </w:rPr>
  </w:style>
  <w:style w:type="paragraph" w:styleId="Heading3">
    <w:name w:val="heading 3"/>
    <w:basedOn w:val="Normal"/>
    <w:next w:val="Normal"/>
    <w:link w:val="Heading3Char"/>
    <w:uiPriority w:val="9"/>
    <w:semiHidden/>
    <w:unhideWhenUsed/>
    <w:qFormat/>
    <w:rsid w:val="00BB17E4"/>
    <w:pPr>
      <w:keepNext/>
      <w:keepLines/>
      <w:spacing w:before="200"/>
      <w:outlineLvl w:val="2"/>
    </w:pPr>
    <w:rPr>
      <w:rFonts w:eastAsiaTheme="majorEastAsia" w:cstheme="majorBidi"/>
      <w:bCs/>
      <w:color w:val="FFFFFF" w:themeColor="background1"/>
      <w:sz w:val="20"/>
    </w:rPr>
  </w:style>
  <w:style w:type="paragraph" w:styleId="Heading4">
    <w:name w:val="heading 4"/>
    <w:basedOn w:val="Normal"/>
    <w:next w:val="Normal"/>
    <w:link w:val="Heading4Char"/>
    <w:uiPriority w:val="9"/>
    <w:semiHidden/>
    <w:unhideWhenUsed/>
    <w:qFormat/>
    <w:rsid w:val="00587144"/>
    <w:pPr>
      <w:keepNext/>
      <w:keepLines/>
      <w:spacing w:before="200"/>
      <w:outlineLvl w:val="3"/>
    </w:pPr>
    <w:rPr>
      <w:rFonts w:asciiTheme="majorHAnsi" w:eastAsiaTheme="majorEastAsia" w:hAnsiTheme="majorHAnsi" w:cstheme="majorBidi"/>
      <w:b/>
      <w:bCs/>
      <w:i/>
      <w:iCs/>
      <w:color w:val="488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TOC1"/>
    <w:autoRedefine/>
    <w:rsid w:val="00960C4E"/>
    <w:pPr>
      <w:spacing w:after="240" w:line="300" w:lineRule="auto"/>
    </w:pPr>
    <w:rPr>
      <w:rFonts w:ascii="Museo Slab 500" w:hAnsi="Museo Slab 500"/>
      <w:color w:val="5C6670" w:themeColor="text1"/>
      <w:sz w:val="36"/>
      <w:szCs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579D7"/>
    <w:pPr>
      <w:spacing w:before="120" w:after="60"/>
      <w:jc w:val="center"/>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Subhead">
    <w:name w:val="Subhead"/>
    <w:basedOn w:val="Normal"/>
    <w:next w:val="Normal"/>
    <w:autoRedefine/>
    <w:qFormat/>
    <w:rsid w:val="00E25BB4"/>
    <w:pPr>
      <w:spacing w:before="120" w:after="60"/>
    </w:pPr>
    <w:rPr>
      <w:rFonts w:ascii="Trebuchet MS" w:hAnsi="Trebuchet MS"/>
      <w:b/>
      <w:color w:val="488BC9" w:themeColor="accent1"/>
      <w:sz w:val="28"/>
    </w:rPr>
  </w:style>
  <w:style w:type="paragraph" w:customStyle="1" w:styleId="SummaryHeadline">
    <w:name w:val="Summary Headline"/>
    <w:basedOn w:val="Heading1"/>
    <w:autoRedefine/>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0F16D2"/>
    <w:rPr>
      <w:rFonts w:ascii="Museo Slab 500" w:eastAsiaTheme="minorHAnsi" w:hAnsi="Museo Slab 500"/>
      <w:bCs/>
      <w:color w:val="FFFFFF" w:themeColor="background1"/>
      <w:sz w:val="44"/>
      <w:szCs w:val="44"/>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CB0A4C"/>
    <w:rPr>
      <w:rFonts w:ascii="Museo Slab 500" w:eastAsiaTheme="majorEastAsia" w:hAnsi="Museo Slab 500" w:cstheme="majorBidi"/>
      <w:b/>
      <w:bCs/>
      <w:color w:val="FFFFFF" w:themeColor="background1"/>
      <w:sz w:val="32"/>
      <w:szCs w:val="26"/>
    </w:rPr>
  </w:style>
  <w:style w:type="character" w:customStyle="1" w:styleId="Heading3Char">
    <w:name w:val="Heading 3 Char"/>
    <w:basedOn w:val="DefaultParagraphFont"/>
    <w:link w:val="Heading3"/>
    <w:uiPriority w:val="9"/>
    <w:semiHidden/>
    <w:rsid w:val="00BB17E4"/>
    <w:rPr>
      <w:rFonts w:ascii="Calibri" w:eastAsiaTheme="majorEastAsia" w:hAnsi="Calibri" w:cstheme="majorBidi"/>
      <w:bCs/>
      <w:color w:val="FFFFFF" w:themeColor="background1"/>
      <w:sz w:val="20"/>
    </w:rPr>
  </w:style>
  <w:style w:type="character" w:styleId="Hyperlink">
    <w:name w:val="Hyperlink"/>
    <w:basedOn w:val="DefaultParagraphFont"/>
    <w:rsid w:val="00AE7E7C"/>
    <w:rPr>
      <w:color w:val="65503C"/>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outlineLvl w:val="9"/>
    </w:pPr>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semiHidden/>
    <w:rsid w:val="00587144"/>
    <w:rPr>
      <w:rFonts w:asciiTheme="majorHAnsi" w:eastAsiaTheme="majorEastAsia" w:hAnsiTheme="majorHAnsi" w:cstheme="majorBidi"/>
      <w:b/>
      <w:bCs/>
      <w:i/>
      <w:iCs/>
      <w:color w:val="488BC9" w:themeColor="accent1"/>
      <w:sz w:val="22"/>
    </w:rPr>
  </w:style>
  <w:style w:type="paragraph" w:customStyle="1" w:styleId="Body">
    <w:name w:val="Body"/>
    <w:basedOn w:val="Normal"/>
    <w:uiPriority w:val="99"/>
    <w:rsid w:val="007B38CB"/>
    <w:pPr>
      <w:suppressAutoHyphens/>
      <w:autoSpaceDE w:val="0"/>
      <w:autoSpaceDN w:val="0"/>
      <w:adjustRightInd w:val="0"/>
      <w:spacing w:after="180"/>
      <w:textAlignment w:val="center"/>
    </w:pPr>
    <w:rPr>
      <w:rFonts w:eastAsiaTheme="minorHAnsi" w:cs="Calibri"/>
      <w:color w:val="4E5758"/>
      <w:szCs w:val="22"/>
    </w:rPr>
  </w:style>
  <w:style w:type="paragraph" w:customStyle="1" w:styleId="BodyBullet">
    <w:name w:val="Body Bullet"/>
    <w:basedOn w:val="Body"/>
    <w:qFormat/>
    <w:rsid w:val="007B38CB"/>
    <w:pPr>
      <w:numPr>
        <w:numId w:val="8"/>
      </w:numPr>
    </w:pPr>
  </w:style>
  <w:style w:type="paragraph" w:styleId="FootnoteText">
    <w:name w:val="footnote text"/>
    <w:basedOn w:val="Normal"/>
    <w:link w:val="FootnoteTextChar"/>
    <w:uiPriority w:val="99"/>
    <w:semiHidden/>
    <w:unhideWhenUsed/>
    <w:rsid w:val="00F80F3D"/>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semiHidden/>
    <w:rsid w:val="00F80F3D"/>
    <w:rPr>
      <w:rFonts w:ascii="Calibri" w:eastAsia="Calibri" w:hAnsi="Calibri" w:cs="Calibri"/>
      <w:sz w:val="20"/>
      <w:szCs w:val="20"/>
    </w:rPr>
  </w:style>
  <w:style w:type="character" w:styleId="FootnoteReference">
    <w:name w:val="footnote reference"/>
    <w:basedOn w:val="DefaultParagraphFont"/>
    <w:uiPriority w:val="99"/>
    <w:semiHidden/>
    <w:unhideWhenUsed/>
    <w:rsid w:val="00F80F3D"/>
    <w:rPr>
      <w:vertAlign w:val="superscript"/>
    </w:rPr>
  </w:style>
  <w:style w:type="paragraph" w:customStyle="1" w:styleId="TableParagraph">
    <w:name w:val="Table Paragraph"/>
    <w:basedOn w:val="Normal"/>
    <w:uiPriority w:val="1"/>
    <w:qFormat/>
    <w:rsid w:val="00F80F3D"/>
    <w:pPr>
      <w:widowControl w:val="0"/>
      <w:autoSpaceDE w:val="0"/>
      <w:autoSpaceDN w:val="0"/>
      <w:ind w:left="103"/>
    </w:pPr>
    <w:rPr>
      <w:rFonts w:eastAsia="Calibri" w:cs="Calibri"/>
      <w:szCs w:val="22"/>
    </w:rPr>
  </w:style>
  <w:style w:type="character" w:styleId="CommentReference">
    <w:name w:val="annotation reference"/>
    <w:basedOn w:val="DefaultParagraphFont"/>
    <w:uiPriority w:val="99"/>
    <w:semiHidden/>
    <w:unhideWhenUsed/>
    <w:rsid w:val="00415E9F"/>
    <w:rPr>
      <w:sz w:val="16"/>
      <w:szCs w:val="16"/>
    </w:rPr>
  </w:style>
  <w:style w:type="paragraph" w:styleId="CommentText">
    <w:name w:val="annotation text"/>
    <w:basedOn w:val="Normal"/>
    <w:link w:val="CommentTextChar"/>
    <w:uiPriority w:val="99"/>
    <w:semiHidden/>
    <w:unhideWhenUsed/>
    <w:rsid w:val="00415E9F"/>
    <w:rPr>
      <w:sz w:val="20"/>
      <w:szCs w:val="20"/>
    </w:rPr>
  </w:style>
  <w:style w:type="character" w:customStyle="1" w:styleId="CommentTextChar">
    <w:name w:val="Comment Text Char"/>
    <w:basedOn w:val="DefaultParagraphFont"/>
    <w:link w:val="CommentText"/>
    <w:uiPriority w:val="99"/>
    <w:semiHidden/>
    <w:rsid w:val="00415E9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15E9F"/>
    <w:rPr>
      <w:b/>
      <w:bCs/>
    </w:rPr>
  </w:style>
  <w:style w:type="character" w:customStyle="1" w:styleId="CommentSubjectChar">
    <w:name w:val="Comment Subject Char"/>
    <w:basedOn w:val="CommentTextChar"/>
    <w:link w:val="CommentSubject"/>
    <w:uiPriority w:val="99"/>
    <w:semiHidden/>
    <w:rsid w:val="00415E9F"/>
    <w:rPr>
      <w:rFonts w:ascii="Calibri" w:hAnsi="Calibri"/>
      <w:b/>
      <w:bCs/>
      <w:sz w:val="20"/>
      <w:szCs w:val="20"/>
    </w:rPr>
  </w:style>
  <w:style w:type="paragraph" w:styleId="NoSpacing">
    <w:name w:val="No Spacing"/>
    <w:uiPriority w:val="1"/>
    <w:qFormat/>
    <w:rsid w:val="00E50E24"/>
    <w:rPr>
      <w:rFonts w:eastAsiaTheme="minorHAnsi"/>
      <w:sz w:val="22"/>
      <w:szCs w:val="22"/>
    </w:rPr>
  </w:style>
  <w:style w:type="paragraph" w:styleId="Revision">
    <w:name w:val="Revision"/>
    <w:hidden/>
    <w:uiPriority w:val="99"/>
    <w:semiHidden/>
    <w:rsid w:val="009A4952"/>
    <w:rPr>
      <w:rFonts w:ascii="Calibri" w:hAnsi="Calibri"/>
      <w:sz w:val="22"/>
    </w:rPr>
  </w:style>
  <w:style w:type="character" w:styleId="FollowedHyperlink">
    <w:name w:val="FollowedHyperlink"/>
    <w:basedOn w:val="DefaultParagraphFont"/>
    <w:uiPriority w:val="99"/>
    <w:semiHidden/>
    <w:unhideWhenUsed/>
    <w:rsid w:val="00A74CBC"/>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0104">
      <w:bodyDiv w:val="1"/>
      <w:marLeft w:val="0"/>
      <w:marRight w:val="0"/>
      <w:marTop w:val="0"/>
      <w:marBottom w:val="0"/>
      <w:divBdr>
        <w:top w:val="none" w:sz="0" w:space="0" w:color="auto"/>
        <w:left w:val="none" w:sz="0" w:space="0" w:color="auto"/>
        <w:bottom w:val="none" w:sz="0" w:space="0" w:color="auto"/>
        <w:right w:val="none" w:sz="0" w:space="0" w:color="auto"/>
      </w:divBdr>
    </w:div>
    <w:div w:id="846600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accountability/housebill1355-factsheet" TargetMode="External"/><Relationship Id="rId13" Type="http://schemas.openxmlformats.org/officeDocument/2006/relationships/hyperlink" Target="http://www.cde.state.co.us/communications/factsheetsandfaq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de.state.co.us/Communications/factsheetsandfaqs" TargetMode="External"/><Relationship Id="rId17" Type="http://schemas.openxmlformats.org/officeDocument/2006/relationships/hyperlink" Target="http://www.cde.state.co.us/communications/factsheetsandfaqs" TargetMode="External"/><Relationship Id="rId2" Type="http://schemas.openxmlformats.org/officeDocument/2006/relationships/numbering" Target="numbering.xml"/><Relationship Id="rId16" Type="http://schemas.openxmlformats.org/officeDocument/2006/relationships/hyperlink" Target="http://www.cde.state.co.us/Communications/factsheetsandfaq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accountability" TargetMode="External"/><Relationship Id="rId5" Type="http://schemas.openxmlformats.org/officeDocument/2006/relationships/webSettings" Target="webSettings.xml"/><Relationship Id="rId15" Type="http://schemas.openxmlformats.org/officeDocument/2006/relationships/hyperlink" Target="https://www.cde.state.co.us/accountability" TargetMode="External"/><Relationship Id="rId23" Type="http://schemas.openxmlformats.org/officeDocument/2006/relationships/theme" Target="theme/theme1.xml"/><Relationship Id="rId10" Type="http://schemas.openxmlformats.org/officeDocument/2006/relationships/hyperlink" Target="http://www.cde.state.co.us/cdeawards/easi-contac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state.co.us/accountability/accountability_clock" TargetMode="External"/><Relationship Id="rId14" Type="http://schemas.openxmlformats.org/officeDocument/2006/relationships/hyperlink" Target="http://www.cde.state.co.us/cdeawards/easi-contac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e.state.co.us/accountability/accountability_clock" TargetMode="External"/><Relationship Id="rId1" Type="http://schemas.openxmlformats.org/officeDocument/2006/relationships/hyperlink" Target="https://www.cde.state.co.us/accountability/housebill1355-fact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DB90-E177-4F0A-9EA9-F0758E9B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2019-10-10T21:27:00Z</dcterms:created>
  <dcterms:modified xsi:type="dcterms:W3CDTF">2019-10-10T21:27:00Z</dcterms:modified>
</cp:coreProperties>
</file>