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B0B67" w14:textId="77777777" w:rsidR="00A44944" w:rsidRPr="00A44944" w:rsidRDefault="00A44944" w:rsidP="00D84A42">
      <w:pPr>
        <w:tabs>
          <w:tab w:val="left" w:pos="4785"/>
        </w:tabs>
        <w:spacing w:after="0" w:line="240" w:lineRule="auto"/>
        <w:rPr>
          <w:b/>
          <w:kern w:val="2"/>
        </w:rPr>
      </w:pPr>
    </w:p>
    <w:p w14:paraId="20B11F46" w14:textId="6D70AE9D" w:rsidR="00C25784" w:rsidRDefault="00844B69" w:rsidP="0011355A">
      <w:pPr>
        <w:spacing w:after="0" w:line="240" w:lineRule="auto"/>
        <w:rPr>
          <w:b/>
          <w:kern w:val="2"/>
          <w:sz w:val="28"/>
        </w:rPr>
      </w:pPr>
      <w:r>
        <w:rPr>
          <w:b/>
          <w:kern w:val="2"/>
          <w:sz w:val="28"/>
        </w:rPr>
        <w:t xml:space="preserve">Nita M. Lowey </w:t>
      </w:r>
      <w:r w:rsidR="007C35F4" w:rsidRPr="00A44944">
        <w:rPr>
          <w:b/>
          <w:kern w:val="2"/>
          <w:sz w:val="28"/>
        </w:rPr>
        <w:t>21</w:t>
      </w:r>
      <w:r w:rsidR="007C35F4" w:rsidRPr="00A44944">
        <w:rPr>
          <w:b/>
          <w:kern w:val="2"/>
          <w:sz w:val="28"/>
          <w:vertAlign w:val="superscript"/>
        </w:rPr>
        <w:t>st</w:t>
      </w:r>
      <w:r w:rsidR="00B8218A" w:rsidRPr="00A44944">
        <w:rPr>
          <w:b/>
          <w:kern w:val="2"/>
          <w:sz w:val="28"/>
        </w:rPr>
        <w:t xml:space="preserve"> </w:t>
      </w:r>
      <w:r w:rsidR="0088721B">
        <w:rPr>
          <w:b/>
          <w:kern w:val="2"/>
          <w:sz w:val="28"/>
        </w:rPr>
        <w:t>Century Community Learning Centers (CCLC)</w:t>
      </w:r>
    </w:p>
    <w:p w14:paraId="0BC5847B" w14:textId="5B15EAAA" w:rsidR="0011355A" w:rsidRDefault="0011355A" w:rsidP="0011355A">
      <w:pPr>
        <w:spacing w:after="0" w:line="240" w:lineRule="auto"/>
        <w:rPr>
          <w:b/>
          <w:kern w:val="2"/>
          <w:sz w:val="28"/>
        </w:rPr>
      </w:pPr>
      <w:r>
        <w:rPr>
          <w:b/>
          <w:kern w:val="2"/>
          <w:sz w:val="28"/>
        </w:rPr>
        <w:t>Colorado Subgrantee School Year 2020-21</w:t>
      </w:r>
      <w:r w:rsidR="0088721B">
        <w:rPr>
          <w:b/>
          <w:kern w:val="2"/>
          <w:sz w:val="28"/>
        </w:rPr>
        <w:t xml:space="preserve"> </w:t>
      </w:r>
      <w:r w:rsidR="000F7844">
        <w:rPr>
          <w:b/>
          <w:kern w:val="2"/>
          <w:sz w:val="28"/>
        </w:rPr>
        <w:t xml:space="preserve">Waiver </w:t>
      </w:r>
    </w:p>
    <w:p w14:paraId="2449CE4A" w14:textId="3711473E" w:rsidR="0011355A" w:rsidRDefault="0011355A" w:rsidP="0011355A">
      <w:pPr>
        <w:spacing w:after="0" w:line="240" w:lineRule="auto"/>
        <w:rPr>
          <w:b/>
          <w:kern w:val="2"/>
          <w:sz w:val="28"/>
        </w:rPr>
      </w:pPr>
      <w:r>
        <w:rPr>
          <w:b/>
          <w:kern w:val="2"/>
          <w:sz w:val="28"/>
        </w:rPr>
        <w:t>Frequently Asked Questions</w:t>
      </w:r>
      <w:r w:rsidR="008F389B">
        <w:rPr>
          <w:b/>
          <w:kern w:val="2"/>
          <w:sz w:val="28"/>
        </w:rPr>
        <w:t xml:space="preserve"> (FAQ)</w:t>
      </w:r>
    </w:p>
    <w:p w14:paraId="28DD6E6C" w14:textId="51E1EA64" w:rsidR="0011355A" w:rsidRDefault="0011355A" w:rsidP="0011355A">
      <w:pPr>
        <w:spacing w:after="0" w:line="240" w:lineRule="auto"/>
        <w:rPr>
          <w:b/>
          <w:kern w:val="2"/>
          <w:sz w:val="28"/>
        </w:rPr>
      </w:pPr>
      <w:r>
        <w:rPr>
          <w:b/>
          <w:kern w:val="2"/>
          <w:sz w:val="28"/>
        </w:rPr>
        <w:t>November 2, 2020</w:t>
      </w:r>
    </w:p>
    <w:p w14:paraId="11409703" w14:textId="77777777" w:rsidR="0011355A" w:rsidRDefault="008F35B2" w:rsidP="00D84A42">
      <w:pPr>
        <w:spacing w:after="0" w:line="240" w:lineRule="auto"/>
        <w:jc w:val="center"/>
        <w:rPr>
          <w:kern w:val="2"/>
        </w:rPr>
      </w:pPr>
      <w:r>
        <w:rPr>
          <w:kern w:val="2"/>
        </w:rPr>
        <w:pict w14:anchorId="12F7F10F">
          <v:rect id="_x0000_i1025" style="width:0;height:1.5pt" o:hralign="center" o:hrstd="t" o:hr="t" fillcolor="#a0a0a0" stroked="f"/>
        </w:pict>
      </w:r>
    </w:p>
    <w:p w14:paraId="04E35E28" w14:textId="194652B4" w:rsidR="0011355A" w:rsidRDefault="0011355A" w:rsidP="0011355A">
      <w:pPr>
        <w:pStyle w:val="Default"/>
      </w:pPr>
      <w:r>
        <w:t xml:space="preserve">1. </w:t>
      </w:r>
      <w:r w:rsidR="005A2C86">
        <w:rPr>
          <w:b/>
        </w:rPr>
        <w:t>Wh</w:t>
      </w:r>
      <w:r w:rsidRPr="0011355A">
        <w:rPr>
          <w:b/>
        </w:rPr>
        <w:t>at does the waiver allow and where can I learn more?</w:t>
      </w:r>
      <w:r>
        <w:t xml:space="preserve"> </w:t>
      </w:r>
    </w:p>
    <w:p w14:paraId="728AF5A9" w14:textId="77777777" w:rsidR="0011355A" w:rsidRPr="005A2C86" w:rsidRDefault="0011355A" w:rsidP="0011355A">
      <w:pPr>
        <w:pStyle w:val="Default"/>
        <w:rPr>
          <w:sz w:val="12"/>
          <w:szCs w:val="12"/>
        </w:rPr>
      </w:pPr>
    </w:p>
    <w:p w14:paraId="219FE20D" w14:textId="4E46CD20" w:rsidR="0011355A" w:rsidRDefault="0011355A" w:rsidP="008F389B">
      <w:pPr>
        <w:pStyle w:val="Default"/>
        <w:ind w:left="270"/>
        <w:rPr>
          <w:sz w:val="22"/>
          <w:szCs w:val="22"/>
        </w:rPr>
      </w:pPr>
      <w:r>
        <w:rPr>
          <w:sz w:val="22"/>
          <w:szCs w:val="22"/>
        </w:rPr>
        <w:t>The waiver allows the Colorado Department of Education (CDE) to approve a 21</w:t>
      </w:r>
      <w:r w:rsidRPr="00C82C61">
        <w:rPr>
          <w:sz w:val="22"/>
          <w:szCs w:val="22"/>
          <w:vertAlign w:val="superscript"/>
        </w:rPr>
        <w:t>st</w:t>
      </w:r>
      <w:r w:rsidR="003E4424">
        <w:rPr>
          <w:sz w:val="22"/>
          <w:szCs w:val="22"/>
        </w:rPr>
        <w:t xml:space="preserve"> </w:t>
      </w:r>
      <w:r>
        <w:rPr>
          <w:sz w:val="22"/>
          <w:szCs w:val="22"/>
        </w:rPr>
        <w:t xml:space="preserve">Century Community Learning Center (CCLC) subgrantee to provide supplemental activities when school is in session but students are not receiving in-person instruction, such as by permitting a teacher to provide additional academic supports during distant, virtual and blended learning opportunities. Information regarding the U.S. Department of Education waiver request can be found at </w:t>
      </w:r>
      <w:hyperlink r:id="rId8" w:history="1">
        <w:r w:rsidRPr="00FF6F9B">
          <w:rPr>
            <w:rStyle w:val="Hyperlink"/>
            <w:sz w:val="22"/>
            <w:szCs w:val="22"/>
          </w:rPr>
          <w:t>https://www.regulations.gov/docket?D=ED-2020-SCC-0141</w:t>
        </w:r>
      </w:hyperlink>
      <w:r w:rsidR="005A2C86">
        <w:rPr>
          <w:sz w:val="22"/>
          <w:szCs w:val="22"/>
        </w:rPr>
        <w:t>.</w:t>
      </w:r>
    </w:p>
    <w:p w14:paraId="42E8A83D" w14:textId="77777777" w:rsidR="0011355A" w:rsidRDefault="0011355A" w:rsidP="0011355A">
      <w:pPr>
        <w:pStyle w:val="Default"/>
        <w:rPr>
          <w:b/>
          <w:bCs/>
          <w:sz w:val="22"/>
          <w:szCs w:val="22"/>
        </w:rPr>
      </w:pPr>
    </w:p>
    <w:p w14:paraId="0DAFC512" w14:textId="77777777" w:rsidR="0011355A" w:rsidRDefault="0011355A" w:rsidP="0011355A">
      <w:pPr>
        <w:pStyle w:val="Default"/>
        <w:rPr>
          <w:sz w:val="22"/>
          <w:szCs w:val="22"/>
        </w:rPr>
      </w:pPr>
      <w:r>
        <w:rPr>
          <w:b/>
          <w:bCs/>
          <w:sz w:val="22"/>
          <w:szCs w:val="22"/>
        </w:rPr>
        <w:t xml:space="preserve">2. How long is this flexibility allowed? </w:t>
      </w:r>
    </w:p>
    <w:p w14:paraId="2B280DCB" w14:textId="77777777" w:rsidR="0011355A" w:rsidRPr="005A2C86" w:rsidRDefault="0011355A" w:rsidP="0011355A">
      <w:pPr>
        <w:pStyle w:val="Default"/>
        <w:rPr>
          <w:sz w:val="12"/>
          <w:szCs w:val="12"/>
        </w:rPr>
      </w:pPr>
    </w:p>
    <w:p w14:paraId="3AA5FED0" w14:textId="77777777" w:rsidR="0011355A" w:rsidRDefault="0011355A" w:rsidP="008F389B">
      <w:pPr>
        <w:pStyle w:val="Default"/>
        <w:ind w:left="270"/>
        <w:rPr>
          <w:sz w:val="22"/>
          <w:szCs w:val="22"/>
        </w:rPr>
      </w:pPr>
      <w:r>
        <w:rPr>
          <w:sz w:val="22"/>
          <w:szCs w:val="22"/>
        </w:rPr>
        <w:t xml:space="preserve">The flexibility allowed by this waiver is to address challenges this school year due to the impact of the Coronavirus Disease 2019 (COVID-19). The waiver is limited to the 2020-21 school year. </w:t>
      </w:r>
    </w:p>
    <w:p w14:paraId="57FF5BDD" w14:textId="77777777" w:rsidR="0011355A" w:rsidRDefault="0011355A" w:rsidP="0011355A">
      <w:pPr>
        <w:pStyle w:val="Default"/>
        <w:rPr>
          <w:b/>
          <w:bCs/>
          <w:sz w:val="22"/>
          <w:szCs w:val="22"/>
        </w:rPr>
      </w:pPr>
    </w:p>
    <w:p w14:paraId="0D2D31C8" w14:textId="77777777" w:rsidR="0011355A" w:rsidRDefault="0011355A" w:rsidP="0011355A">
      <w:pPr>
        <w:pStyle w:val="Default"/>
        <w:rPr>
          <w:sz w:val="22"/>
          <w:szCs w:val="22"/>
        </w:rPr>
      </w:pPr>
      <w:r>
        <w:rPr>
          <w:b/>
          <w:bCs/>
          <w:sz w:val="22"/>
          <w:szCs w:val="22"/>
        </w:rPr>
        <w:t xml:space="preserve">3. What kinds of activities can be provided under this waiver? </w:t>
      </w:r>
    </w:p>
    <w:p w14:paraId="19DB6C52" w14:textId="77777777" w:rsidR="0011355A" w:rsidRPr="005A2C86" w:rsidRDefault="0011355A" w:rsidP="0011355A">
      <w:pPr>
        <w:pStyle w:val="Default"/>
        <w:rPr>
          <w:sz w:val="12"/>
          <w:szCs w:val="12"/>
        </w:rPr>
      </w:pPr>
    </w:p>
    <w:p w14:paraId="3DB8DF2E" w14:textId="77777777" w:rsidR="008F389B" w:rsidRDefault="0011355A" w:rsidP="008F389B">
      <w:pPr>
        <w:pStyle w:val="Default"/>
        <w:ind w:left="360"/>
        <w:rPr>
          <w:sz w:val="22"/>
          <w:szCs w:val="22"/>
        </w:rPr>
      </w:pPr>
      <w:r>
        <w:rPr>
          <w:sz w:val="22"/>
          <w:szCs w:val="22"/>
        </w:rPr>
        <w:t xml:space="preserve">The ESEA specifies that the </w:t>
      </w:r>
      <w:r w:rsidR="003E4424">
        <w:rPr>
          <w:sz w:val="22"/>
          <w:szCs w:val="22"/>
        </w:rPr>
        <w:t>21</w:t>
      </w:r>
      <w:r w:rsidR="003E4424" w:rsidRPr="009615C3">
        <w:rPr>
          <w:sz w:val="22"/>
          <w:szCs w:val="22"/>
          <w:vertAlign w:val="superscript"/>
        </w:rPr>
        <w:t>st</w:t>
      </w:r>
      <w:r w:rsidR="003E4424" w:rsidDel="003E4424">
        <w:rPr>
          <w:sz w:val="22"/>
          <w:szCs w:val="22"/>
        </w:rPr>
        <w:t xml:space="preserve"> </w:t>
      </w:r>
      <w:r>
        <w:rPr>
          <w:sz w:val="22"/>
          <w:szCs w:val="22"/>
        </w:rPr>
        <w:t>CCLC funds are designed to support students attending high-poverty, low-performing school</w:t>
      </w:r>
      <w:r w:rsidR="003E4424">
        <w:rPr>
          <w:sz w:val="22"/>
          <w:szCs w:val="22"/>
        </w:rPr>
        <w:t>s</w:t>
      </w:r>
      <w:r>
        <w:rPr>
          <w:sz w:val="22"/>
          <w:szCs w:val="22"/>
        </w:rPr>
        <w:t xml:space="preserve">. The three main areas </w:t>
      </w:r>
      <w:r w:rsidR="005A2C86">
        <w:rPr>
          <w:sz w:val="22"/>
          <w:szCs w:val="22"/>
        </w:rPr>
        <w:t xml:space="preserve">of focus for the funds are to: </w:t>
      </w:r>
    </w:p>
    <w:p w14:paraId="122CBB4F" w14:textId="7856BBDA" w:rsidR="005A2C86" w:rsidRDefault="0011355A" w:rsidP="008F389B">
      <w:pPr>
        <w:pStyle w:val="Default"/>
        <w:numPr>
          <w:ilvl w:val="0"/>
          <w:numId w:val="22"/>
        </w:numPr>
        <w:rPr>
          <w:sz w:val="22"/>
          <w:szCs w:val="22"/>
        </w:rPr>
      </w:pPr>
      <w:r w:rsidRPr="005A2C86">
        <w:rPr>
          <w:sz w:val="22"/>
          <w:szCs w:val="22"/>
        </w:rPr>
        <w:t xml:space="preserve">Reinforce and complement the regular academic programs of the schools attended by the students served; </w:t>
      </w:r>
      <w:r w:rsidR="005A2C86">
        <w:rPr>
          <w:sz w:val="22"/>
          <w:szCs w:val="22"/>
        </w:rPr>
        <w:t xml:space="preserve"> </w:t>
      </w:r>
    </w:p>
    <w:p w14:paraId="69EF0AC4" w14:textId="77777777" w:rsidR="005A2C86" w:rsidRDefault="0011355A" w:rsidP="008F389B">
      <w:pPr>
        <w:pStyle w:val="Default"/>
        <w:numPr>
          <w:ilvl w:val="0"/>
          <w:numId w:val="22"/>
        </w:numPr>
        <w:rPr>
          <w:sz w:val="22"/>
          <w:szCs w:val="22"/>
        </w:rPr>
      </w:pPr>
      <w:r w:rsidRPr="005A2C86">
        <w:rPr>
          <w:sz w:val="22"/>
          <w:szCs w:val="22"/>
        </w:rPr>
        <w:t xml:space="preserve">Target the students’ academic needs and align with the instruction students receive during the school day, and; </w:t>
      </w:r>
    </w:p>
    <w:p w14:paraId="154D607C" w14:textId="7DD07FAB" w:rsidR="0011355A" w:rsidRPr="005A2C86" w:rsidRDefault="0011355A" w:rsidP="008F389B">
      <w:pPr>
        <w:pStyle w:val="Default"/>
        <w:numPr>
          <w:ilvl w:val="0"/>
          <w:numId w:val="22"/>
        </w:numPr>
        <w:rPr>
          <w:sz w:val="22"/>
          <w:szCs w:val="22"/>
        </w:rPr>
      </w:pPr>
      <w:r w:rsidRPr="005A2C86">
        <w:rPr>
          <w:sz w:val="22"/>
          <w:szCs w:val="22"/>
        </w:rPr>
        <w:t xml:space="preserve">Offer families of students served by the center opportunities for active and meaningful engagement in their children’s education. </w:t>
      </w:r>
    </w:p>
    <w:p w14:paraId="547B2228" w14:textId="77777777" w:rsidR="0011355A" w:rsidRDefault="0011355A" w:rsidP="008F389B">
      <w:pPr>
        <w:pStyle w:val="Default"/>
        <w:ind w:left="360"/>
        <w:rPr>
          <w:sz w:val="22"/>
          <w:szCs w:val="22"/>
        </w:rPr>
      </w:pPr>
      <w:r>
        <w:rPr>
          <w:sz w:val="22"/>
          <w:szCs w:val="22"/>
        </w:rPr>
        <w:t xml:space="preserve">Additionally, the law contains a list of allowable activities that should be consulted in the design of the waiver request. </w:t>
      </w:r>
    </w:p>
    <w:p w14:paraId="5D95CFF7" w14:textId="77777777" w:rsidR="0011355A" w:rsidRDefault="0011355A" w:rsidP="0011355A">
      <w:pPr>
        <w:pStyle w:val="Default"/>
        <w:rPr>
          <w:b/>
          <w:bCs/>
          <w:sz w:val="22"/>
          <w:szCs w:val="22"/>
        </w:rPr>
      </w:pPr>
    </w:p>
    <w:p w14:paraId="577D9BAD" w14:textId="5758264C" w:rsidR="0011355A" w:rsidRDefault="0011355A" w:rsidP="0011355A">
      <w:pPr>
        <w:pStyle w:val="Default"/>
        <w:rPr>
          <w:sz w:val="22"/>
          <w:szCs w:val="22"/>
        </w:rPr>
      </w:pPr>
      <w:r>
        <w:rPr>
          <w:b/>
          <w:bCs/>
          <w:sz w:val="22"/>
          <w:szCs w:val="22"/>
        </w:rPr>
        <w:t xml:space="preserve">4. What expenditure adjustments would be allowable within the budget narrative of the waiver application? </w:t>
      </w:r>
    </w:p>
    <w:p w14:paraId="5F43801F" w14:textId="77777777" w:rsidR="005A2C86" w:rsidRPr="005A2C86" w:rsidRDefault="005A2C86" w:rsidP="0011355A">
      <w:pPr>
        <w:pStyle w:val="Default"/>
        <w:rPr>
          <w:sz w:val="12"/>
          <w:szCs w:val="12"/>
        </w:rPr>
      </w:pPr>
    </w:p>
    <w:p w14:paraId="08CA116B" w14:textId="10303578" w:rsidR="0011355A" w:rsidRDefault="0011355A" w:rsidP="006E19AA">
      <w:pPr>
        <w:pStyle w:val="Default"/>
        <w:ind w:left="360"/>
        <w:rPr>
          <w:sz w:val="22"/>
          <w:szCs w:val="22"/>
        </w:rPr>
      </w:pPr>
      <w:r>
        <w:rPr>
          <w:sz w:val="22"/>
          <w:szCs w:val="22"/>
        </w:rPr>
        <w:t xml:space="preserve">Title IV, Part B – </w:t>
      </w:r>
      <w:r w:rsidR="003E4424">
        <w:rPr>
          <w:sz w:val="22"/>
          <w:szCs w:val="22"/>
        </w:rPr>
        <w:t>21</w:t>
      </w:r>
      <w:r w:rsidR="003E4424" w:rsidRPr="009615C3">
        <w:rPr>
          <w:sz w:val="22"/>
          <w:szCs w:val="22"/>
          <w:vertAlign w:val="superscript"/>
        </w:rPr>
        <w:t>st</w:t>
      </w:r>
      <w:r w:rsidR="003E4424" w:rsidDel="003E4424">
        <w:rPr>
          <w:sz w:val="22"/>
          <w:szCs w:val="22"/>
        </w:rPr>
        <w:t xml:space="preserve"> </w:t>
      </w:r>
      <w:r>
        <w:rPr>
          <w:sz w:val="22"/>
          <w:szCs w:val="22"/>
        </w:rPr>
        <w:t xml:space="preserve">CCLC funds may be used to support additional staff hours and/or staff that will provide support to students during distant, virtual and blended learning opportunities. The funds may also support additional materials/supplies, contractual services, transportation, and other reasonable and necessary expenses associated with the approved program design. Subgrantees may be required to demonstrate that other sources of funding are not available to support the proposed expenditures. </w:t>
      </w:r>
    </w:p>
    <w:p w14:paraId="6BC21D34" w14:textId="77777777" w:rsidR="0011355A" w:rsidRDefault="0011355A" w:rsidP="0011355A">
      <w:pPr>
        <w:pStyle w:val="Default"/>
        <w:rPr>
          <w:b/>
          <w:bCs/>
          <w:sz w:val="22"/>
          <w:szCs w:val="22"/>
        </w:rPr>
      </w:pPr>
    </w:p>
    <w:p w14:paraId="4B0AF9FB" w14:textId="77777777" w:rsidR="0011355A" w:rsidRDefault="0011355A" w:rsidP="0011355A">
      <w:pPr>
        <w:pStyle w:val="Default"/>
        <w:rPr>
          <w:sz w:val="22"/>
          <w:szCs w:val="22"/>
        </w:rPr>
      </w:pPr>
      <w:r>
        <w:rPr>
          <w:b/>
          <w:bCs/>
          <w:sz w:val="22"/>
          <w:szCs w:val="22"/>
        </w:rPr>
        <w:t xml:space="preserve">5. Who can attend the program offerings? </w:t>
      </w:r>
    </w:p>
    <w:p w14:paraId="7F24F04A" w14:textId="77777777" w:rsidR="0011355A" w:rsidRPr="005A2C86" w:rsidRDefault="0011355A" w:rsidP="0011355A">
      <w:pPr>
        <w:pStyle w:val="Default"/>
        <w:rPr>
          <w:sz w:val="12"/>
          <w:szCs w:val="12"/>
        </w:rPr>
      </w:pPr>
    </w:p>
    <w:p w14:paraId="3039DF6E" w14:textId="4F0D0B8D" w:rsidR="0011355A" w:rsidRDefault="0011355A" w:rsidP="006E19AA">
      <w:pPr>
        <w:pStyle w:val="Default"/>
        <w:ind w:left="360"/>
      </w:pPr>
      <w:r>
        <w:rPr>
          <w:sz w:val="22"/>
          <w:szCs w:val="22"/>
        </w:rPr>
        <w:t xml:space="preserve">Programs must continue to serve the select population of high-needs students </w:t>
      </w:r>
      <w:r w:rsidR="00926BE9">
        <w:rPr>
          <w:sz w:val="22"/>
          <w:szCs w:val="22"/>
        </w:rPr>
        <w:t xml:space="preserve">that </w:t>
      </w:r>
      <w:r>
        <w:rPr>
          <w:sz w:val="22"/>
          <w:szCs w:val="22"/>
        </w:rPr>
        <w:t xml:space="preserve">these grant funds are intended to support. Grant funds may be used </w:t>
      </w:r>
      <w:r w:rsidR="003E4424">
        <w:rPr>
          <w:sz w:val="22"/>
          <w:szCs w:val="22"/>
        </w:rPr>
        <w:t xml:space="preserve">only </w:t>
      </w:r>
      <w:r>
        <w:rPr>
          <w:sz w:val="22"/>
          <w:szCs w:val="22"/>
        </w:rPr>
        <w:t xml:space="preserve">to support a consistent group of students that attend funded sites. </w:t>
      </w:r>
      <w:r w:rsidR="00A67ECA">
        <w:tab/>
      </w:r>
    </w:p>
    <w:p w14:paraId="43B9FE1C" w14:textId="77777777" w:rsidR="005A2C86" w:rsidRDefault="005A2C86" w:rsidP="005A2C86">
      <w:pPr>
        <w:pStyle w:val="Default"/>
        <w:rPr>
          <w:sz w:val="22"/>
          <w:szCs w:val="22"/>
        </w:rPr>
      </w:pPr>
    </w:p>
    <w:p w14:paraId="3AEE49B4" w14:textId="77777777" w:rsidR="006E19AA" w:rsidRDefault="006E19AA" w:rsidP="0011355A">
      <w:pPr>
        <w:pStyle w:val="Default"/>
        <w:rPr>
          <w:b/>
          <w:bCs/>
          <w:sz w:val="22"/>
          <w:szCs w:val="22"/>
        </w:rPr>
      </w:pPr>
    </w:p>
    <w:p w14:paraId="628E645E" w14:textId="77777777" w:rsidR="006E19AA" w:rsidRDefault="006E19AA" w:rsidP="0011355A">
      <w:pPr>
        <w:pStyle w:val="Default"/>
        <w:rPr>
          <w:b/>
          <w:bCs/>
          <w:sz w:val="22"/>
          <w:szCs w:val="22"/>
        </w:rPr>
      </w:pPr>
    </w:p>
    <w:p w14:paraId="0BAD4C28" w14:textId="77777777" w:rsidR="006E19AA" w:rsidRDefault="006E19AA" w:rsidP="0011355A">
      <w:pPr>
        <w:pStyle w:val="Default"/>
        <w:rPr>
          <w:b/>
          <w:bCs/>
          <w:sz w:val="22"/>
          <w:szCs w:val="22"/>
        </w:rPr>
      </w:pPr>
    </w:p>
    <w:p w14:paraId="373D4326" w14:textId="77777777" w:rsidR="0011355A" w:rsidRDefault="0011355A" w:rsidP="0011355A">
      <w:pPr>
        <w:pStyle w:val="Default"/>
        <w:rPr>
          <w:sz w:val="22"/>
          <w:szCs w:val="22"/>
        </w:rPr>
      </w:pPr>
      <w:r>
        <w:rPr>
          <w:b/>
          <w:bCs/>
          <w:sz w:val="22"/>
          <w:szCs w:val="22"/>
        </w:rPr>
        <w:lastRenderedPageBreak/>
        <w:t xml:space="preserve">6. Can funds be used to support services for adult family members of the students enrolled in the program? </w:t>
      </w:r>
    </w:p>
    <w:p w14:paraId="4445C785" w14:textId="77777777" w:rsidR="0011355A" w:rsidRPr="005A2C86" w:rsidRDefault="0011355A" w:rsidP="0011355A">
      <w:pPr>
        <w:pStyle w:val="Default"/>
        <w:rPr>
          <w:sz w:val="12"/>
          <w:szCs w:val="12"/>
        </w:rPr>
      </w:pPr>
    </w:p>
    <w:p w14:paraId="4404146E" w14:textId="77777777" w:rsidR="0011355A" w:rsidRDefault="0011355A" w:rsidP="006E19AA">
      <w:pPr>
        <w:pStyle w:val="Default"/>
        <w:ind w:left="360"/>
        <w:rPr>
          <w:sz w:val="22"/>
          <w:szCs w:val="22"/>
        </w:rPr>
      </w:pPr>
      <w:r>
        <w:rPr>
          <w:sz w:val="22"/>
          <w:szCs w:val="22"/>
        </w:rPr>
        <w:t xml:space="preserve">Yes, funds can be used to support services for adult family member of the students enrolled in the program. Due to the challenges of this school year, supports for the adult family members of students enrolled in the program will be a critical area of focus. Safe and supportive learning environments are essential to student learning. Technology, nutrition, employment, social emotional learning, and educational supports for families will be needed to ensure student learning can take place. </w:t>
      </w:r>
    </w:p>
    <w:p w14:paraId="6B5B6CC5" w14:textId="77777777" w:rsidR="0011355A" w:rsidRDefault="0011355A" w:rsidP="0011355A">
      <w:pPr>
        <w:pStyle w:val="Default"/>
        <w:rPr>
          <w:b/>
          <w:bCs/>
          <w:sz w:val="22"/>
          <w:szCs w:val="22"/>
        </w:rPr>
      </w:pPr>
    </w:p>
    <w:p w14:paraId="6B909501" w14:textId="77777777" w:rsidR="0011355A" w:rsidRDefault="0011355A" w:rsidP="0011355A">
      <w:pPr>
        <w:pStyle w:val="Default"/>
        <w:rPr>
          <w:sz w:val="22"/>
          <w:szCs w:val="22"/>
        </w:rPr>
      </w:pPr>
      <w:r>
        <w:rPr>
          <w:b/>
          <w:bCs/>
          <w:sz w:val="22"/>
          <w:szCs w:val="22"/>
        </w:rPr>
        <w:t xml:space="preserve">7. Will grantees be required to continue out-of-school time services outlined in their original application? </w:t>
      </w:r>
    </w:p>
    <w:p w14:paraId="24B1276C" w14:textId="77777777" w:rsidR="0011355A" w:rsidRPr="005A2C86" w:rsidRDefault="0011355A" w:rsidP="0011355A">
      <w:pPr>
        <w:pStyle w:val="Default"/>
        <w:rPr>
          <w:sz w:val="12"/>
          <w:szCs w:val="12"/>
        </w:rPr>
      </w:pPr>
    </w:p>
    <w:p w14:paraId="3B422EFB" w14:textId="6F4A480B" w:rsidR="0011355A" w:rsidRDefault="0011355A" w:rsidP="006E19AA">
      <w:pPr>
        <w:pStyle w:val="Default"/>
        <w:ind w:left="360"/>
        <w:rPr>
          <w:sz w:val="22"/>
          <w:szCs w:val="22"/>
        </w:rPr>
      </w:pPr>
      <w:r>
        <w:rPr>
          <w:sz w:val="22"/>
          <w:szCs w:val="22"/>
        </w:rPr>
        <w:t xml:space="preserve">Yes, grantees will need to assure that the out-of-school time services outlined in the original grant application will still be provided. The waiver requires an assurance from the state and its subgrantees that the </w:t>
      </w:r>
      <w:r w:rsidR="003E4424">
        <w:rPr>
          <w:sz w:val="22"/>
          <w:szCs w:val="22"/>
        </w:rPr>
        <w:t>21</w:t>
      </w:r>
      <w:r w:rsidR="003E4424" w:rsidRPr="009615C3">
        <w:rPr>
          <w:sz w:val="22"/>
          <w:szCs w:val="22"/>
          <w:vertAlign w:val="superscript"/>
        </w:rPr>
        <w:t>st</w:t>
      </w:r>
      <w:r w:rsidR="003E4424" w:rsidDel="003E4424">
        <w:rPr>
          <w:sz w:val="22"/>
          <w:szCs w:val="22"/>
        </w:rPr>
        <w:t xml:space="preserve"> </w:t>
      </w:r>
      <w:r>
        <w:rPr>
          <w:sz w:val="22"/>
          <w:szCs w:val="22"/>
        </w:rPr>
        <w:t xml:space="preserve">CCLC funds will be used in accordance with all other provisions of Title IV, Part B of the ESEA and all applicable regulations, program plans, and applications. </w:t>
      </w:r>
    </w:p>
    <w:p w14:paraId="2D68B8EE" w14:textId="77777777" w:rsidR="0011355A" w:rsidRDefault="0011355A" w:rsidP="0011355A">
      <w:pPr>
        <w:pStyle w:val="Default"/>
        <w:rPr>
          <w:b/>
          <w:bCs/>
          <w:sz w:val="22"/>
          <w:szCs w:val="22"/>
        </w:rPr>
      </w:pPr>
    </w:p>
    <w:p w14:paraId="7511175E" w14:textId="77777777" w:rsidR="0011355A" w:rsidRDefault="0011355A" w:rsidP="0011355A">
      <w:pPr>
        <w:pStyle w:val="Default"/>
        <w:rPr>
          <w:sz w:val="22"/>
          <w:szCs w:val="22"/>
        </w:rPr>
      </w:pPr>
      <w:r>
        <w:rPr>
          <w:b/>
          <w:bCs/>
          <w:sz w:val="22"/>
          <w:szCs w:val="22"/>
        </w:rPr>
        <w:t xml:space="preserve">8. How can my organization apply for this flexibility? </w:t>
      </w:r>
    </w:p>
    <w:p w14:paraId="2BBA563A" w14:textId="77777777" w:rsidR="0011355A" w:rsidRPr="005A2C86" w:rsidRDefault="0011355A" w:rsidP="0011355A">
      <w:pPr>
        <w:pStyle w:val="Default"/>
        <w:rPr>
          <w:sz w:val="12"/>
          <w:szCs w:val="12"/>
        </w:rPr>
      </w:pPr>
    </w:p>
    <w:p w14:paraId="10128F07" w14:textId="6F827B79" w:rsidR="005A2C86" w:rsidRDefault="0011355A" w:rsidP="006E19AA">
      <w:pPr>
        <w:spacing w:after="0" w:line="240" w:lineRule="auto"/>
        <w:ind w:left="360"/>
        <w:rPr>
          <w:rFonts w:ascii="Arial" w:hAnsi="Arial" w:cs="Arial"/>
        </w:rPr>
      </w:pPr>
      <w:r w:rsidRPr="0011355A">
        <w:rPr>
          <w:rFonts w:ascii="Arial" w:hAnsi="Arial" w:cs="Arial"/>
        </w:rPr>
        <w:t xml:space="preserve">Colorado’s </w:t>
      </w:r>
      <w:r w:rsidR="003E4424">
        <w:t>21</w:t>
      </w:r>
      <w:r w:rsidR="003E4424" w:rsidRPr="009615C3">
        <w:rPr>
          <w:vertAlign w:val="superscript"/>
        </w:rPr>
        <w:t>st</w:t>
      </w:r>
      <w:r w:rsidR="003E4424" w:rsidRPr="0011355A" w:rsidDel="003E4424">
        <w:rPr>
          <w:rFonts w:ascii="Arial" w:hAnsi="Arial" w:cs="Arial"/>
        </w:rPr>
        <w:t xml:space="preserve"> </w:t>
      </w:r>
      <w:r>
        <w:rPr>
          <w:rFonts w:ascii="Arial" w:hAnsi="Arial" w:cs="Arial"/>
        </w:rPr>
        <w:t>CCLC subgrantees need to</w:t>
      </w:r>
      <w:r w:rsidRPr="0011355A">
        <w:rPr>
          <w:rFonts w:ascii="Arial" w:hAnsi="Arial" w:cs="Arial"/>
        </w:rPr>
        <w:t xml:space="preserve"> complete </w:t>
      </w:r>
      <w:r>
        <w:rPr>
          <w:rFonts w:ascii="Arial" w:hAnsi="Arial" w:cs="Arial"/>
        </w:rPr>
        <w:t xml:space="preserve">and submit </w:t>
      </w:r>
      <w:r w:rsidRPr="0011355A">
        <w:rPr>
          <w:rFonts w:ascii="Arial" w:hAnsi="Arial" w:cs="Arial"/>
        </w:rPr>
        <w:t>an application for waiver. The application can be found on Colorado’s 21</w:t>
      </w:r>
      <w:r w:rsidRPr="0011355A">
        <w:rPr>
          <w:rFonts w:ascii="Arial" w:hAnsi="Arial" w:cs="Arial"/>
          <w:vertAlign w:val="superscript"/>
        </w:rPr>
        <w:t>st</w:t>
      </w:r>
      <w:r w:rsidRPr="0011355A">
        <w:rPr>
          <w:rFonts w:ascii="Arial" w:hAnsi="Arial" w:cs="Arial"/>
        </w:rPr>
        <w:t xml:space="preserve"> CCLC webpage at </w:t>
      </w:r>
      <w:hyperlink r:id="rId9" w:history="1">
        <w:r w:rsidRPr="0011355A">
          <w:rPr>
            <w:rStyle w:val="Hyperlink"/>
            <w:rFonts w:ascii="Arial" w:hAnsi="Arial" w:cs="Arial"/>
          </w:rPr>
          <w:t>www.cde.state.co.us/21stcclc</w:t>
        </w:r>
      </w:hyperlink>
      <w:r w:rsidRPr="0011355A">
        <w:rPr>
          <w:rFonts w:ascii="Arial" w:hAnsi="Arial" w:cs="Arial"/>
        </w:rPr>
        <w:t xml:space="preserve">. </w:t>
      </w:r>
      <w:r w:rsidR="003E4424">
        <w:t>21</w:t>
      </w:r>
      <w:r w:rsidR="003E4424" w:rsidRPr="009615C3">
        <w:rPr>
          <w:vertAlign w:val="superscript"/>
        </w:rPr>
        <w:t>st</w:t>
      </w:r>
      <w:r w:rsidRPr="0011355A">
        <w:rPr>
          <w:rFonts w:ascii="Arial" w:hAnsi="Arial" w:cs="Arial"/>
        </w:rPr>
        <w:t xml:space="preserve"> CCLC subgrantees interested in applying for this waiver are required to complete this application and submit it via email to their </w:t>
      </w:r>
      <w:r w:rsidR="003E4424">
        <w:t>21</w:t>
      </w:r>
      <w:r w:rsidR="003E4424" w:rsidRPr="009615C3">
        <w:rPr>
          <w:vertAlign w:val="superscript"/>
        </w:rPr>
        <w:t>st</w:t>
      </w:r>
      <w:r w:rsidRPr="0011355A">
        <w:rPr>
          <w:rFonts w:ascii="Arial" w:hAnsi="Arial" w:cs="Arial"/>
        </w:rPr>
        <w:t xml:space="preserve"> CCLC Lead Consultant at CDE: </w:t>
      </w:r>
    </w:p>
    <w:p w14:paraId="7DA5ED7E" w14:textId="77777777" w:rsidR="005A2C86" w:rsidRPr="006E19AA" w:rsidRDefault="0011355A" w:rsidP="006E19AA">
      <w:pPr>
        <w:pStyle w:val="ListParagraph"/>
        <w:numPr>
          <w:ilvl w:val="0"/>
          <w:numId w:val="23"/>
        </w:numPr>
        <w:spacing w:after="0" w:line="240" w:lineRule="auto"/>
        <w:rPr>
          <w:rFonts w:ascii="Arial" w:hAnsi="Arial" w:cs="Arial"/>
        </w:rPr>
      </w:pPr>
      <w:r w:rsidRPr="006E19AA">
        <w:rPr>
          <w:rFonts w:ascii="Arial" w:hAnsi="Arial" w:cs="Arial"/>
        </w:rPr>
        <w:t>Cody Buchanan</w:t>
      </w:r>
      <w:r w:rsidRPr="006E19AA">
        <w:rPr>
          <w:rFonts w:ascii="Arial" w:hAnsi="Arial" w:cs="Arial"/>
          <w:color w:val="595959" w:themeColor="text1" w:themeTint="A6"/>
          <w:kern w:val="2"/>
        </w:rPr>
        <w:t xml:space="preserve"> (</w:t>
      </w:r>
      <w:hyperlink r:id="rId10" w:history="1">
        <w:r w:rsidRPr="006E19AA">
          <w:rPr>
            <w:rStyle w:val="Hyperlink"/>
            <w:rFonts w:ascii="Arial" w:hAnsi="Arial" w:cs="Arial"/>
            <w:color w:val="5959FF" w:themeColor="hyperlink" w:themeTint="A6"/>
            <w:kern w:val="2"/>
          </w:rPr>
          <w:t>Buchanan_C@cde.state.co.us</w:t>
        </w:r>
      </w:hyperlink>
      <w:r w:rsidRPr="006E19AA">
        <w:rPr>
          <w:rFonts w:ascii="Arial" w:hAnsi="Arial" w:cs="Arial"/>
          <w:color w:val="595959" w:themeColor="text1" w:themeTint="A6"/>
          <w:kern w:val="2"/>
        </w:rPr>
        <w:t xml:space="preserve">) </w:t>
      </w:r>
      <w:r w:rsidRPr="006E19AA">
        <w:rPr>
          <w:rFonts w:ascii="Arial" w:hAnsi="Arial" w:cs="Arial"/>
        </w:rPr>
        <w:t xml:space="preserve">or </w:t>
      </w:r>
    </w:p>
    <w:p w14:paraId="2A9B4416" w14:textId="77777777" w:rsidR="005A2C86" w:rsidRPr="006E19AA" w:rsidRDefault="0011355A" w:rsidP="006E19AA">
      <w:pPr>
        <w:pStyle w:val="ListParagraph"/>
        <w:numPr>
          <w:ilvl w:val="0"/>
          <w:numId w:val="23"/>
        </w:numPr>
        <w:spacing w:after="0" w:line="240" w:lineRule="auto"/>
        <w:rPr>
          <w:rFonts w:ascii="Arial" w:hAnsi="Arial" w:cs="Arial"/>
          <w:color w:val="595959" w:themeColor="text1" w:themeTint="A6"/>
          <w:kern w:val="2"/>
        </w:rPr>
      </w:pPr>
      <w:r w:rsidRPr="006E19AA">
        <w:rPr>
          <w:rFonts w:ascii="Arial" w:hAnsi="Arial" w:cs="Arial"/>
        </w:rPr>
        <w:t>Anna Young (</w:t>
      </w:r>
      <w:hyperlink r:id="rId11" w:history="1">
        <w:r w:rsidRPr="006E19AA">
          <w:rPr>
            <w:rStyle w:val="Hyperlink"/>
            <w:rFonts w:ascii="Arial" w:hAnsi="Arial" w:cs="Arial"/>
            <w:color w:val="5959FF" w:themeColor="hyperlink" w:themeTint="A6"/>
            <w:kern w:val="2"/>
          </w:rPr>
          <w:t>Young_A@cde.state.co.us</w:t>
        </w:r>
      </w:hyperlink>
      <w:r w:rsidRPr="006E19AA">
        <w:rPr>
          <w:rFonts w:ascii="Arial" w:hAnsi="Arial" w:cs="Arial"/>
          <w:color w:val="595959" w:themeColor="text1" w:themeTint="A6"/>
          <w:kern w:val="2"/>
        </w:rPr>
        <w:t xml:space="preserve">). </w:t>
      </w:r>
    </w:p>
    <w:p w14:paraId="22016777" w14:textId="77777777" w:rsidR="005A2C86" w:rsidRDefault="005A2C86" w:rsidP="006E19AA">
      <w:pPr>
        <w:spacing w:after="0" w:line="240" w:lineRule="auto"/>
        <w:ind w:left="360"/>
        <w:rPr>
          <w:rFonts w:ascii="Arial" w:hAnsi="Arial" w:cs="Arial"/>
          <w:color w:val="595959" w:themeColor="text1" w:themeTint="A6"/>
          <w:kern w:val="2"/>
        </w:rPr>
      </w:pPr>
    </w:p>
    <w:p w14:paraId="05C43A8D" w14:textId="03C54999" w:rsidR="0011355A" w:rsidRPr="0011355A" w:rsidRDefault="0011355A" w:rsidP="006E19AA">
      <w:pPr>
        <w:spacing w:after="0" w:line="240" w:lineRule="auto"/>
        <w:ind w:left="360"/>
        <w:rPr>
          <w:rFonts w:ascii="Arial" w:hAnsi="Arial" w:cs="Arial"/>
        </w:rPr>
      </w:pPr>
      <w:r w:rsidRPr="0011355A">
        <w:rPr>
          <w:rFonts w:ascii="Arial" w:hAnsi="Arial" w:cs="Arial"/>
        </w:rPr>
        <w:t>Submitted applications will undergo an expedited review process</w:t>
      </w:r>
      <w:r>
        <w:rPr>
          <w:rFonts w:ascii="Arial" w:hAnsi="Arial" w:cs="Arial"/>
        </w:rPr>
        <w:t xml:space="preserve"> by the CDE’s</w:t>
      </w:r>
      <w:r w:rsidRPr="0011355A">
        <w:rPr>
          <w:rFonts w:ascii="Arial" w:hAnsi="Arial" w:cs="Arial"/>
        </w:rPr>
        <w:t xml:space="preserve"> </w:t>
      </w:r>
      <w:r w:rsidR="003E4424" w:rsidRPr="00B8010B">
        <w:rPr>
          <w:rFonts w:ascii="Arial" w:hAnsi="Arial" w:cs="Arial"/>
        </w:rPr>
        <w:t>21</w:t>
      </w:r>
      <w:r w:rsidR="00B8010B" w:rsidRPr="00B8010B">
        <w:rPr>
          <w:rFonts w:ascii="Arial" w:hAnsi="Arial" w:cs="Arial"/>
          <w:vertAlign w:val="superscript"/>
        </w:rPr>
        <w:t>st</w:t>
      </w:r>
      <w:r w:rsidR="00B8010B">
        <w:rPr>
          <w:rFonts w:ascii="Arial" w:hAnsi="Arial" w:cs="Arial"/>
        </w:rPr>
        <w:t xml:space="preserve"> </w:t>
      </w:r>
      <w:bookmarkStart w:id="0" w:name="_GoBack"/>
      <w:bookmarkEnd w:id="0"/>
      <w:r>
        <w:rPr>
          <w:rFonts w:ascii="Arial" w:hAnsi="Arial" w:cs="Arial"/>
        </w:rPr>
        <w:t>CCLC and Grants Fiscal Offices</w:t>
      </w:r>
      <w:r w:rsidRPr="0011355A">
        <w:rPr>
          <w:rFonts w:ascii="Arial" w:hAnsi="Arial" w:cs="Arial"/>
        </w:rPr>
        <w:t xml:space="preserve">. </w:t>
      </w:r>
    </w:p>
    <w:p w14:paraId="2705051E" w14:textId="77777777" w:rsidR="0011355A" w:rsidRDefault="0011355A" w:rsidP="0011355A">
      <w:pPr>
        <w:pStyle w:val="Default"/>
        <w:rPr>
          <w:b/>
          <w:bCs/>
          <w:sz w:val="22"/>
          <w:szCs w:val="22"/>
        </w:rPr>
      </w:pPr>
    </w:p>
    <w:p w14:paraId="357E21FD" w14:textId="77777777" w:rsidR="0011355A" w:rsidRDefault="0011355A" w:rsidP="0011355A">
      <w:pPr>
        <w:pStyle w:val="Default"/>
        <w:rPr>
          <w:sz w:val="22"/>
          <w:szCs w:val="22"/>
        </w:rPr>
      </w:pPr>
      <w:r>
        <w:rPr>
          <w:b/>
          <w:bCs/>
          <w:sz w:val="22"/>
          <w:szCs w:val="22"/>
        </w:rPr>
        <w:t xml:space="preserve">9. What is the deadline for application for this waiver? </w:t>
      </w:r>
    </w:p>
    <w:p w14:paraId="42EAC2D9" w14:textId="77777777" w:rsidR="0011355A" w:rsidRPr="005A2C86" w:rsidRDefault="0011355A" w:rsidP="0011355A">
      <w:pPr>
        <w:pStyle w:val="Default"/>
        <w:rPr>
          <w:sz w:val="12"/>
          <w:szCs w:val="12"/>
        </w:rPr>
      </w:pPr>
    </w:p>
    <w:p w14:paraId="2FA98FDC" w14:textId="5E347BF2" w:rsidR="0011355A" w:rsidRDefault="0011355A" w:rsidP="006E19AA">
      <w:pPr>
        <w:spacing w:after="0" w:line="240" w:lineRule="auto"/>
        <w:ind w:left="360"/>
        <w:rPr>
          <w:rFonts w:ascii="Arial" w:hAnsi="Arial" w:cs="Arial"/>
          <w:color w:val="000000"/>
        </w:rPr>
      </w:pPr>
      <w:r w:rsidRPr="0011355A">
        <w:rPr>
          <w:rFonts w:ascii="Arial" w:hAnsi="Arial" w:cs="Arial"/>
          <w:color w:val="000000"/>
        </w:rPr>
        <w:t xml:space="preserve">The flexibility offered by this waiver is designed to provide a continuous plan to support students and families throughout the 2020-21 school year. Although learning methods may shift periodically throughout the year, services should be available consistently once applied. Taking into consideration that this flexibility is only allowable during the 2020-21 school year and in order to assure ample time for application review and approval, we would encourage subgrantees to complete the application by December 31, 2020. Extensions for this deadline are available upon request.  </w:t>
      </w:r>
    </w:p>
    <w:p w14:paraId="1700C2AA" w14:textId="77777777" w:rsidR="0011355A" w:rsidRDefault="0011355A" w:rsidP="0011355A">
      <w:pPr>
        <w:spacing w:after="0" w:line="240" w:lineRule="auto"/>
        <w:rPr>
          <w:rFonts w:ascii="Arial" w:hAnsi="Arial" w:cs="Arial"/>
          <w:color w:val="000000"/>
        </w:rPr>
      </w:pPr>
    </w:p>
    <w:p w14:paraId="662CE8B8" w14:textId="4FC24480" w:rsidR="0011355A" w:rsidRDefault="0011355A" w:rsidP="0011355A">
      <w:pPr>
        <w:pStyle w:val="Default"/>
        <w:rPr>
          <w:sz w:val="22"/>
          <w:szCs w:val="22"/>
        </w:rPr>
      </w:pPr>
      <w:r>
        <w:rPr>
          <w:b/>
          <w:bCs/>
          <w:sz w:val="22"/>
          <w:szCs w:val="22"/>
        </w:rPr>
        <w:t xml:space="preserve">10. </w:t>
      </w:r>
      <w:r w:rsidR="0098670B">
        <w:rPr>
          <w:b/>
          <w:bCs/>
          <w:sz w:val="22"/>
          <w:szCs w:val="22"/>
        </w:rPr>
        <w:t>Can this waiver</w:t>
      </w:r>
      <w:r>
        <w:rPr>
          <w:b/>
          <w:bCs/>
          <w:sz w:val="22"/>
          <w:szCs w:val="22"/>
        </w:rPr>
        <w:t xml:space="preserve"> be retroactive to</w:t>
      </w:r>
      <w:r w:rsidR="0098670B">
        <w:rPr>
          <w:b/>
          <w:bCs/>
          <w:sz w:val="22"/>
          <w:szCs w:val="22"/>
        </w:rPr>
        <w:t xml:space="preserve"> cover allowable activities and expense at the start of this</w:t>
      </w:r>
      <w:r>
        <w:rPr>
          <w:b/>
          <w:bCs/>
          <w:sz w:val="22"/>
          <w:szCs w:val="22"/>
        </w:rPr>
        <w:t xml:space="preserve"> school year? </w:t>
      </w:r>
    </w:p>
    <w:p w14:paraId="23B6B9EE" w14:textId="77777777" w:rsidR="0098670B" w:rsidRPr="005A2C86" w:rsidRDefault="0098670B" w:rsidP="0011355A">
      <w:pPr>
        <w:spacing w:after="0" w:line="240" w:lineRule="auto"/>
        <w:rPr>
          <w:rFonts w:ascii="Arial" w:hAnsi="Arial" w:cs="Arial"/>
          <w:color w:val="000000"/>
          <w:sz w:val="12"/>
          <w:szCs w:val="12"/>
        </w:rPr>
      </w:pPr>
    </w:p>
    <w:p w14:paraId="4382AD75" w14:textId="15548591" w:rsidR="0098670B" w:rsidRDefault="0098670B" w:rsidP="006E19AA">
      <w:pPr>
        <w:spacing w:after="0" w:line="240" w:lineRule="auto"/>
        <w:ind w:left="360"/>
        <w:rPr>
          <w:rFonts w:ascii="Arial" w:hAnsi="Arial" w:cs="Arial"/>
          <w:color w:val="000000"/>
        </w:rPr>
      </w:pPr>
      <w:r>
        <w:rPr>
          <w:rFonts w:ascii="Arial" w:hAnsi="Arial" w:cs="Arial"/>
          <w:color w:val="000000"/>
        </w:rPr>
        <w:t>Additional details are needed in order to answer this question:</w:t>
      </w:r>
      <w:r w:rsidR="0011355A">
        <w:rPr>
          <w:rFonts w:ascii="Arial" w:hAnsi="Arial" w:cs="Arial"/>
          <w:color w:val="000000"/>
        </w:rPr>
        <w:t xml:space="preserve"> </w:t>
      </w:r>
    </w:p>
    <w:p w14:paraId="26DF3FE6" w14:textId="77777777" w:rsidR="0098670B" w:rsidRPr="006E19AA" w:rsidRDefault="0011355A" w:rsidP="006E19AA">
      <w:pPr>
        <w:pStyle w:val="ListParagraph"/>
        <w:numPr>
          <w:ilvl w:val="0"/>
          <w:numId w:val="24"/>
        </w:numPr>
        <w:spacing w:after="0" w:line="240" w:lineRule="auto"/>
        <w:rPr>
          <w:rFonts w:ascii="Arial" w:hAnsi="Arial" w:cs="Arial"/>
          <w:color w:val="000000"/>
        </w:rPr>
      </w:pPr>
      <w:r w:rsidRPr="006E19AA">
        <w:rPr>
          <w:rFonts w:ascii="Arial" w:hAnsi="Arial" w:cs="Arial"/>
          <w:color w:val="000000"/>
        </w:rPr>
        <w:t>What were</w:t>
      </w:r>
      <w:r w:rsidR="0098670B" w:rsidRPr="006E19AA">
        <w:rPr>
          <w:rFonts w:ascii="Arial" w:hAnsi="Arial" w:cs="Arial"/>
          <w:color w:val="000000"/>
        </w:rPr>
        <w:t xml:space="preserve"> the expenses?</w:t>
      </w:r>
      <w:r w:rsidRPr="006E19AA">
        <w:rPr>
          <w:rFonts w:ascii="Arial" w:hAnsi="Arial" w:cs="Arial"/>
          <w:color w:val="000000"/>
        </w:rPr>
        <w:t xml:space="preserve">  </w:t>
      </w:r>
    </w:p>
    <w:p w14:paraId="53D9B504" w14:textId="77777777" w:rsidR="0098670B" w:rsidRPr="006E19AA" w:rsidRDefault="0011355A" w:rsidP="006E19AA">
      <w:pPr>
        <w:pStyle w:val="ListParagraph"/>
        <w:numPr>
          <w:ilvl w:val="0"/>
          <w:numId w:val="24"/>
        </w:numPr>
        <w:spacing w:after="0" w:line="240" w:lineRule="auto"/>
        <w:rPr>
          <w:rFonts w:ascii="Arial" w:hAnsi="Arial" w:cs="Arial"/>
          <w:color w:val="000000"/>
        </w:rPr>
      </w:pPr>
      <w:r w:rsidRPr="006E19AA">
        <w:rPr>
          <w:rFonts w:ascii="Arial" w:hAnsi="Arial" w:cs="Arial"/>
          <w:color w:val="000000"/>
        </w:rPr>
        <w:t>How were they covered until now?</w:t>
      </w:r>
      <w:r w:rsidR="0098670B" w:rsidRPr="006E19AA">
        <w:rPr>
          <w:rFonts w:ascii="Arial" w:hAnsi="Arial" w:cs="Arial"/>
          <w:color w:val="000000"/>
        </w:rPr>
        <w:t xml:space="preserve"> </w:t>
      </w:r>
    </w:p>
    <w:p w14:paraId="0BBC3A7B" w14:textId="1963F97B" w:rsidR="0098670B" w:rsidRPr="006E19AA" w:rsidRDefault="0098670B" w:rsidP="006E19AA">
      <w:pPr>
        <w:pStyle w:val="ListParagraph"/>
        <w:numPr>
          <w:ilvl w:val="0"/>
          <w:numId w:val="24"/>
        </w:numPr>
        <w:spacing w:after="0" w:line="240" w:lineRule="auto"/>
        <w:rPr>
          <w:rFonts w:ascii="Arial" w:hAnsi="Arial" w:cs="Arial"/>
          <w:color w:val="000000"/>
        </w:rPr>
      </w:pPr>
      <w:r w:rsidRPr="006E19AA">
        <w:rPr>
          <w:rFonts w:ascii="Arial" w:hAnsi="Arial" w:cs="Arial"/>
          <w:color w:val="000000"/>
        </w:rPr>
        <w:t xml:space="preserve">Do they align with the project modifications outlined in the subgrantee’s waiver application? </w:t>
      </w:r>
    </w:p>
    <w:p w14:paraId="438B4C8F" w14:textId="77777777" w:rsidR="0098670B" w:rsidRDefault="0098670B" w:rsidP="006E19AA">
      <w:pPr>
        <w:spacing w:after="0" w:line="240" w:lineRule="auto"/>
        <w:ind w:left="360"/>
        <w:rPr>
          <w:rFonts w:ascii="Arial" w:hAnsi="Arial" w:cs="Arial"/>
          <w:color w:val="000000"/>
        </w:rPr>
      </w:pPr>
    </w:p>
    <w:p w14:paraId="037C6C0B" w14:textId="51F4E47C" w:rsidR="0011355A" w:rsidRPr="0098670B" w:rsidRDefault="006E19AA" w:rsidP="006E19AA">
      <w:pPr>
        <w:spacing w:after="0" w:line="240" w:lineRule="auto"/>
        <w:ind w:left="360"/>
        <w:rPr>
          <w:rFonts w:ascii="Arial" w:hAnsi="Arial" w:cs="Arial"/>
          <w:color w:val="000000"/>
        </w:rPr>
      </w:pPr>
      <w:r>
        <w:rPr>
          <w:rFonts w:ascii="Arial" w:hAnsi="Arial" w:cs="Arial"/>
          <w:color w:val="000000"/>
        </w:rPr>
        <w:t>T</w:t>
      </w:r>
      <w:r w:rsidRPr="0098670B">
        <w:rPr>
          <w:rFonts w:ascii="Arial" w:hAnsi="Arial" w:cs="Arial"/>
          <w:color w:val="000000"/>
        </w:rPr>
        <w:t xml:space="preserve">he expenses incurred during the start of school year </w:t>
      </w:r>
      <w:r>
        <w:rPr>
          <w:rFonts w:ascii="Arial" w:hAnsi="Arial" w:cs="Arial"/>
          <w:color w:val="000000"/>
        </w:rPr>
        <w:t>20</w:t>
      </w:r>
      <w:r w:rsidRPr="0098670B">
        <w:rPr>
          <w:rFonts w:ascii="Arial" w:hAnsi="Arial" w:cs="Arial"/>
          <w:color w:val="000000"/>
        </w:rPr>
        <w:t>20-21 could</w:t>
      </w:r>
      <w:r>
        <w:rPr>
          <w:rFonts w:ascii="Arial" w:hAnsi="Arial" w:cs="Arial"/>
          <w:color w:val="000000"/>
        </w:rPr>
        <w:t xml:space="preserve"> be eligible for reimbursement, i</w:t>
      </w:r>
      <w:r w:rsidR="0011355A" w:rsidRPr="0098670B">
        <w:rPr>
          <w:rFonts w:ascii="Arial" w:hAnsi="Arial" w:cs="Arial"/>
          <w:color w:val="000000"/>
        </w:rPr>
        <w:t>f</w:t>
      </w:r>
      <w:r w:rsidR="0098670B" w:rsidRPr="0098670B">
        <w:rPr>
          <w:rFonts w:ascii="Arial" w:hAnsi="Arial" w:cs="Arial"/>
          <w:color w:val="000000"/>
        </w:rPr>
        <w:t xml:space="preserve"> subgrantees did</w:t>
      </w:r>
      <w:r w:rsidR="0011355A" w:rsidRPr="0098670B">
        <w:rPr>
          <w:rFonts w:ascii="Arial" w:hAnsi="Arial" w:cs="Arial"/>
          <w:color w:val="000000"/>
        </w:rPr>
        <w:t xml:space="preserve"> not us</w:t>
      </w:r>
      <w:r w:rsidR="008F389B">
        <w:rPr>
          <w:rFonts w:ascii="Arial" w:hAnsi="Arial" w:cs="Arial"/>
          <w:color w:val="000000"/>
        </w:rPr>
        <w:t>e</w:t>
      </w:r>
      <w:r w:rsidR="0011355A" w:rsidRPr="0098670B">
        <w:rPr>
          <w:rFonts w:ascii="Arial" w:hAnsi="Arial" w:cs="Arial"/>
          <w:color w:val="000000"/>
        </w:rPr>
        <w:t xml:space="preserve"> federal funds</w:t>
      </w:r>
      <w:r w:rsidR="0098670B" w:rsidRPr="0098670B">
        <w:rPr>
          <w:rFonts w:ascii="Arial" w:hAnsi="Arial" w:cs="Arial"/>
          <w:color w:val="000000"/>
        </w:rPr>
        <w:t xml:space="preserve"> to cover the cost</w:t>
      </w:r>
      <w:r w:rsidR="0098670B">
        <w:rPr>
          <w:rFonts w:ascii="Arial" w:hAnsi="Arial" w:cs="Arial"/>
          <w:color w:val="000000"/>
        </w:rPr>
        <w:t>s</w:t>
      </w:r>
      <w:r w:rsidR="0098670B" w:rsidRPr="0098670B">
        <w:rPr>
          <w:rFonts w:ascii="Arial" w:hAnsi="Arial" w:cs="Arial"/>
          <w:color w:val="000000"/>
        </w:rPr>
        <w:t xml:space="preserve"> but instead used general fund</w:t>
      </w:r>
      <w:r w:rsidR="0098670B">
        <w:rPr>
          <w:rFonts w:ascii="Arial" w:hAnsi="Arial" w:cs="Arial"/>
          <w:color w:val="000000"/>
        </w:rPr>
        <w:t>s</w:t>
      </w:r>
      <w:r>
        <w:rPr>
          <w:rFonts w:ascii="Arial" w:hAnsi="Arial" w:cs="Arial"/>
          <w:color w:val="000000"/>
        </w:rPr>
        <w:t xml:space="preserve"> or other funding sources.</w:t>
      </w:r>
      <w:r w:rsidR="0098670B" w:rsidRPr="0098670B">
        <w:rPr>
          <w:rFonts w:ascii="Arial" w:hAnsi="Arial" w:cs="Arial"/>
          <w:color w:val="000000"/>
        </w:rPr>
        <w:t xml:space="preserve"> </w:t>
      </w:r>
      <w:r w:rsidR="008F389B">
        <w:rPr>
          <w:rFonts w:ascii="Arial" w:hAnsi="Arial" w:cs="Arial"/>
          <w:color w:val="000000"/>
        </w:rPr>
        <w:t>If you are asking for a retroactive waiver, i</w:t>
      </w:r>
      <w:r w:rsidR="0098670B" w:rsidRPr="0098670B">
        <w:rPr>
          <w:rFonts w:ascii="Arial" w:hAnsi="Arial" w:cs="Arial"/>
          <w:color w:val="000000"/>
        </w:rPr>
        <w:t xml:space="preserve">t will be important </w:t>
      </w:r>
      <w:r w:rsidR="008F389B">
        <w:rPr>
          <w:rFonts w:ascii="Arial" w:hAnsi="Arial" w:cs="Arial"/>
          <w:color w:val="000000"/>
        </w:rPr>
        <w:t xml:space="preserve">to provide </w:t>
      </w:r>
      <w:r w:rsidR="00926BE9">
        <w:rPr>
          <w:rFonts w:ascii="Arial" w:hAnsi="Arial" w:cs="Arial"/>
          <w:color w:val="000000"/>
        </w:rPr>
        <w:t xml:space="preserve">answers to the </w:t>
      </w:r>
      <w:r w:rsidR="008F389B">
        <w:rPr>
          <w:rFonts w:ascii="Arial" w:hAnsi="Arial" w:cs="Arial"/>
          <w:color w:val="000000"/>
        </w:rPr>
        <w:t>bulleted</w:t>
      </w:r>
      <w:r w:rsidR="00926BE9">
        <w:rPr>
          <w:rFonts w:ascii="Arial" w:hAnsi="Arial" w:cs="Arial"/>
          <w:color w:val="000000"/>
        </w:rPr>
        <w:t xml:space="preserve"> question</w:t>
      </w:r>
      <w:r w:rsidR="008F389B">
        <w:rPr>
          <w:rFonts w:ascii="Arial" w:hAnsi="Arial" w:cs="Arial"/>
          <w:color w:val="000000"/>
        </w:rPr>
        <w:t>s</w:t>
      </w:r>
      <w:r w:rsidR="00926BE9">
        <w:rPr>
          <w:rFonts w:ascii="Arial" w:hAnsi="Arial" w:cs="Arial"/>
          <w:color w:val="000000"/>
        </w:rPr>
        <w:t xml:space="preserve"> </w:t>
      </w:r>
      <w:r w:rsidR="008F389B">
        <w:rPr>
          <w:rFonts w:ascii="Arial" w:hAnsi="Arial" w:cs="Arial"/>
          <w:color w:val="000000"/>
        </w:rPr>
        <w:t xml:space="preserve">above in the appropriate area </w:t>
      </w:r>
      <w:r w:rsidR="00926BE9">
        <w:rPr>
          <w:rFonts w:ascii="Arial" w:hAnsi="Arial" w:cs="Arial"/>
          <w:color w:val="000000"/>
        </w:rPr>
        <w:t>on</w:t>
      </w:r>
      <w:r w:rsidR="00C82C61">
        <w:rPr>
          <w:rFonts w:ascii="Arial" w:hAnsi="Arial" w:cs="Arial"/>
          <w:color w:val="000000"/>
        </w:rPr>
        <w:t xml:space="preserve"> </w:t>
      </w:r>
      <w:r>
        <w:rPr>
          <w:rFonts w:ascii="Arial" w:hAnsi="Arial" w:cs="Arial"/>
          <w:color w:val="000000"/>
        </w:rPr>
        <w:t>your 21st CCLC w</w:t>
      </w:r>
      <w:r w:rsidR="00C82C61">
        <w:rPr>
          <w:rFonts w:ascii="Arial" w:hAnsi="Arial" w:cs="Arial"/>
          <w:color w:val="000000"/>
        </w:rPr>
        <w:t>aiver application.</w:t>
      </w:r>
      <w:r w:rsidR="0098670B" w:rsidRPr="0098670B">
        <w:rPr>
          <w:rFonts w:ascii="Arial" w:hAnsi="Arial" w:cs="Arial"/>
          <w:color w:val="000000"/>
        </w:rPr>
        <w:t xml:space="preserve"> </w:t>
      </w:r>
    </w:p>
    <w:sectPr w:rsidR="0011355A" w:rsidRPr="0098670B" w:rsidSect="00A44944">
      <w:headerReference w:type="default" r:id="rId12"/>
      <w:footerReference w:type="default" r:id="rId13"/>
      <w:type w:val="continuous"/>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567C" w16cex:dateUtc="2020-10-30T15: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122C" w14:textId="77777777" w:rsidR="008F35B2" w:rsidRDefault="008F35B2" w:rsidP="00181E47">
      <w:pPr>
        <w:spacing w:after="0" w:line="240" w:lineRule="auto"/>
      </w:pPr>
      <w:r>
        <w:separator/>
      </w:r>
    </w:p>
  </w:endnote>
  <w:endnote w:type="continuationSeparator" w:id="0">
    <w:p w14:paraId="2F7F0315" w14:textId="77777777" w:rsidR="008F35B2" w:rsidRDefault="008F35B2" w:rsidP="0018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299B" w14:textId="0F96B0F5" w:rsidR="008F389B" w:rsidRPr="00A44944" w:rsidRDefault="008F389B" w:rsidP="00A44944">
    <w:pPr>
      <w:pStyle w:val="Footer"/>
      <w:jc w:val="right"/>
      <w:rPr>
        <w:rFonts w:cstheme="minorHAnsi"/>
        <w:color w:val="7F7F7F" w:themeColor="text1" w:themeTint="80"/>
      </w:rPr>
    </w:pPr>
    <w:r w:rsidRPr="00A44944">
      <w:rPr>
        <w:rFonts w:eastAsiaTheme="majorEastAsia" w:cstheme="minorHAnsi"/>
        <w:color w:val="7F7F7F" w:themeColor="text1" w:themeTint="80"/>
        <w:sz w:val="18"/>
        <w:szCs w:val="18"/>
      </w:rPr>
      <w:t xml:space="preserve">Updated </w:t>
    </w:r>
    <w:r>
      <w:rPr>
        <w:rFonts w:eastAsiaTheme="majorEastAsia" w:cstheme="minorHAnsi"/>
        <w:color w:val="7F7F7F" w:themeColor="text1" w:themeTint="80"/>
        <w:sz w:val="18"/>
        <w:szCs w:val="18"/>
      </w:rPr>
      <w:t>10/29/20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CBAB" w14:textId="77777777" w:rsidR="008F35B2" w:rsidRDefault="008F35B2" w:rsidP="00181E47">
      <w:pPr>
        <w:spacing w:after="0" w:line="240" w:lineRule="auto"/>
      </w:pPr>
      <w:r>
        <w:separator/>
      </w:r>
    </w:p>
  </w:footnote>
  <w:footnote w:type="continuationSeparator" w:id="0">
    <w:p w14:paraId="75E9D543" w14:textId="77777777" w:rsidR="008F35B2" w:rsidRDefault="008F35B2" w:rsidP="0018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2E60" w14:textId="77777777" w:rsidR="008F389B" w:rsidRDefault="008F389B">
    <w:pPr>
      <w:pStyle w:val="Header"/>
    </w:pPr>
    <w:r>
      <w:rPr>
        <w:noProof/>
      </w:rPr>
      <w:drawing>
        <wp:anchor distT="0" distB="0" distL="114300" distR="114300" simplePos="0" relativeHeight="251656704" behindDoc="0" locked="0" layoutInCell="1" allowOverlap="1" wp14:anchorId="7798C571" wp14:editId="3ADB7850">
          <wp:simplePos x="0" y="0"/>
          <wp:positionH relativeFrom="column">
            <wp:posOffset>4463415</wp:posOffset>
          </wp:positionH>
          <wp:positionV relativeFrom="paragraph">
            <wp:posOffset>-69850</wp:posOffset>
          </wp:positionV>
          <wp:extent cx="2146935" cy="62103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CLC Logo (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935" cy="621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0A35D12" wp14:editId="6636445E">
          <wp:simplePos x="0" y="0"/>
          <wp:positionH relativeFrom="margin">
            <wp:posOffset>0</wp:posOffset>
          </wp:positionH>
          <wp:positionV relativeFrom="paragraph">
            <wp:posOffset>79375</wp:posOffset>
          </wp:positionV>
          <wp:extent cx="2546350" cy="4286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e_logo_fullColor-h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6350" cy="428625"/>
                  </a:xfrm>
                  <a:prstGeom prst="rect">
                    <a:avLst/>
                  </a:prstGeom>
                </pic:spPr>
              </pic:pic>
            </a:graphicData>
          </a:graphic>
          <wp14:sizeRelH relativeFrom="page">
            <wp14:pctWidth>0</wp14:pctWidth>
          </wp14:sizeRelH>
          <wp14:sizeRelV relativeFrom="page">
            <wp14:pctHeight>0</wp14:pctHeight>
          </wp14:sizeRelV>
        </wp:anchor>
      </w:drawing>
    </w:r>
  </w:p>
  <w:p w14:paraId="3D70163B" w14:textId="77777777" w:rsidR="008F389B" w:rsidRDefault="008F389B">
    <w:pPr>
      <w:pStyle w:val="Header"/>
    </w:pPr>
    <w:r>
      <w:br/>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E8FC1F"/>
    <w:multiLevelType w:val="hybridMultilevel"/>
    <w:tmpl w:val="8D94C7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60AD2"/>
    <w:multiLevelType w:val="hybridMultilevel"/>
    <w:tmpl w:val="939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1CC7"/>
    <w:multiLevelType w:val="hybridMultilevel"/>
    <w:tmpl w:val="49BC41B4"/>
    <w:lvl w:ilvl="0" w:tplc="929E297A">
      <w:start w:val="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82C"/>
    <w:multiLevelType w:val="hybridMultilevel"/>
    <w:tmpl w:val="6B924C44"/>
    <w:lvl w:ilvl="0" w:tplc="929E297A">
      <w:start w:val="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3F4C"/>
    <w:multiLevelType w:val="hybridMultilevel"/>
    <w:tmpl w:val="6FCEC6A4"/>
    <w:lvl w:ilvl="0" w:tplc="4F26C05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2258CF"/>
    <w:multiLevelType w:val="hybridMultilevel"/>
    <w:tmpl w:val="73109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B2140"/>
    <w:multiLevelType w:val="hybridMultilevel"/>
    <w:tmpl w:val="AAF65448"/>
    <w:lvl w:ilvl="0" w:tplc="8C7840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149C"/>
    <w:multiLevelType w:val="hybridMultilevel"/>
    <w:tmpl w:val="A61A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C20615"/>
    <w:multiLevelType w:val="hybridMultilevel"/>
    <w:tmpl w:val="0AC4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14B22"/>
    <w:multiLevelType w:val="hybridMultilevel"/>
    <w:tmpl w:val="3F52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FC0400"/>
    <w:multiLevelType w:val="hybridMultilevel"/>
    <w:tmpl w:val="457A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565FB"/>
    <w:multiLevelType w:val="hybridMultilevel"/>
    <w:tmpl w:val="532E5F94"/>
    <w:lvl w:ilvl="0" w:tplc="FD3C7A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901D9"/>
    <w:multiLevelType w:val="hybridMultilevel"/>
    <w:tmpl w:val="0F0488A6"/>
    <w:lvl w:ilvl="0" w:tplc="48EC13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53E55"/>
    <w:multiLevelType w:val="hybridMultilevel"/>
    <w:tmpl w:val="08AE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8963DD"/>
    <w:multiLevelType w:val="hybridMultilevel"/>
    <w:tmpl w:val="81FE7C08"/>
    <w:lvl w:ilvl="0" w:tplc="0CB26C9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1F63EB"/>
    <w:multiLevelType w:val="hybridMultilevel"/>
    <w:tmpl w:val="0672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910A9"/>
    <w:multiLevelType w:val="hybridMultilevel"/>
    <w:tmpl w:val="3964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01293"/>
    <w:multiLevelType w:val="hybridMultilevel"/>
    <w:tmpl w:val="FD020214"/>
    <w:lvl w:ilvl="0" w:tplc="8530E5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240FE"/>
    <w:multiLevelType w:val="hybridMultilevel"/>
    <w:tmpl w:val="21C4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BB5922"/>
    <w:multiLevelType w:val="hybridMultilevel"/>
    <w:tmpl w:val="D3F27C72"/>
    <w:lvl w:ilvl="0" w:tplc="18AE14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C667F3"/>
    <w:multiLevelType w:val="hybridMultilevel"/>
    <w:tmpl w:val="B2586FB0"/>
    <w:lvl w:ilvl="0" w:tplc="929E297A">
      <w:start w:val="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1602BF"/>
    <w:multiLevelType w:val="hybridMultilevel"/>
    <w:tmpl w:val="209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A41D7"/>
    <w:multiLevelType w:val="hybridMultilevel"/>
    <w:tmpl w:val="25686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A18B0"/>
    <w:multiLevelType w:val="hybridMultilevel"/>
    <w:tmpl w:val="A7223026"/>
    <w:lvl w:ilvl="0" w:tplc="5906CC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17"/>
  </w:num>
  <w:num w:numId="5">
    <w:abstractNumId w:val="11"/>
  </w:num>
  <w:num w:numId="6">
    <w:abstractNumId w:val="23"/>
  </w:num>
  <w:num w:numId="7">
    <w:abstractNumId w:val="12"/>
  </w:num>
  <w:num w:numId="8">
    <w:abstractNumId w:val="5"/>
  </w:num>
  <w:num w:numId="9">
    <w:abstractNumId w:val="21"/>
  </w:num>
  <w:num w:numId="10">
    <w:abstractNumId w:val="10"/>
  </w:num>
  <w:num w:numId="11">
    <w:abstractNumId w:val="16"/>
  </w:num>
  <w:num w:numId="12">
    <w:abstractNumId w:val="8"/>
  </w:num>
  <w:num w:numId="13">
    <w:abstractNumId w:val="4"/>
  </w:num>
  <w:num w:numId="14">
    <w:abstractNumId w:val="0"/>
  </w:num>
  <w:num w:numId="15">
    <w:abstractNumId w:val="15"/>
  </w:num>
  <w:num w:numId="16">
    <w:abstractNumId w:val="1"/>
  </w:num>
  <w:num w:numId="17">
    <w:abstractNumId w:val="7"/>
  </w:num>
  <w:num w:numId="18">
    <w:abstractNumId w:val="13"/>
  </w:num>
  <w:num w:numId="19">
    <w:abstractNumId w:val="20"/>
  </w:num>
  <w:num w:numId="20">
    <w:abstractNumId w:val="3"/>
  </w:num>
  <w:num w:numId="21">
    <w:abstractNumId w:val="2"/>
  </w:num>
  <w:num w:numId="22">
    <w:abstractNumId w:val="9"/>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47"/>
    <w:rsid w:val="00007629"/>
    <w:rsid w:val="00014F76"/>
    <w:rsid w:val="0002275E"/>
    <w:rsid w:val="00023664"/>
    <w:rsid w:val="00032C02"/>
    <w:rsid w:val="000748A0"/>
    <w:rsid w:val="000900E5"/>
    <w:rsid w:val="0009015B"/>
    <w:rsid w:val="000A6A8E"/>
    <w:rsid w:val="000B187A"/>
    <w:rsid w:val="000D0D48"/>
    <w:rsid w:val="000E6217"/>
    <w:rsid w:val="000F7844"/>
    <w:rsid w:val="00104CBA"/>
    <w:rsid w:val="0011355A"/>
    <w:rsid w:val="00115845"/>
    <w:rsid w:val="0012237F"/>
    <w:rsid w:val="00125155"/>
    <w:rsid w:val="00126153"/>
    <w:rsid w:val="00141074"/>
    <w:rsid w:val="00150375"/>
    <w:rsid w:val="00172C22"/>
    <w:rsid w:val="00177634"/>
    <w:rsid w:val="00181E47"/>
    <w:rsid w:val="00186635"/>
    <w:rsid w:val="001A6054"/>
    <w:rsid w:val="001D6D29"/>
    <w:rsid w:val="001F1BC0"/>
    <w:rsid w:val="001F3A4D"/>
    <w:rsid w:val="00236E2A"/>
    <w:rsid w:val="002510D4"/>
    <w:rsid w:val="002A0AC1"/>
    <w:rsid w:val="002D2659"/>
    <w:rsid w:val="002E1756"/>
    <w:rsid w:val="002E2FCA"/>
    <w:rsid w:val="002F02D4"/>
    <w:rsid w:val="002F0D0B"/>
    <w:rsid w:val="00302549"/>
    <w:rsid w:val="00316D42"/>
    <w:rsid w:val="00331BC0"/>
    <w:rsid w:val="00333C12"/>
    <w:rsid w:val="003461E8"/>
    <w:rsid w:val="00346CEA"/>
    <w:rsid w:val="00355022"/>
    <w:rsid w:val="00364E48"/>
    <w:rsid w:val="003837CE"/>
    <w:rsid w:val="003A0D08"/>
    <w:rsid w:val="003C3D68"/>
    <w:rsid w:val="003D4DC1"/>
    <w:rsid w:val="003E4424"/>
    <w:rsid w:val="00406CC9"/>
    <w:rsid w:val="00425868"/>
    <w:rsid w:val="0045443F"/>
    <w:rsid w:val="00456030"/>
    <w:rsid w:val="00467981"/>
    <w:rsid w:val="00484658"/>
    <w:rsid w:val="004852D1"/>
    <w:rsid w:val="004A4A87"/>
    <w:rsid w:val="004A77C3"/>
    <w:rsid w:val="004C133F"/>
    <w:rsid w:val="004C2101"/>
    <w:rsid w:val="004E62C7"/>
    <w:rsid w:val="004F1289"/>
    <w:rsid w:val="00525F34"/>
    <w:rsid w:val="0053219F"/>
    <w:rsid w:val="00537C02"/>
    <w:rsid w:val="00585CEF"/>
    <w:rsid w:val="005A2C86"/>
    <w:rsid w:val="005E550B"/>
    <w:rsid w:val="006138F8"/>
    <w:rsid w:val="0063653D"/>
    <w:rsid w:val="00641F3F"/>
    <w:rsid w:val="00655BC4"/>
    <w:rsid w:val="00662CA4"/>
    <w:rsid w:val="006742F8"/>
    <w:rsid w:val="00690340"/>
    <w:rsid w:val="006A62F1"/>
    <w:rsid w:val="006C0521"/>
    <w:rsid w:val="006D6DA2"/>
    <w:rsid w:val="006E19AA"/>
    <w:rsid w:val="006E3475"/>
    <w:rsid w:val="00700F89"/>
    <w:rsid w:val="00732F8A"/>
    <w:rsid w:val="007379EF"/>
    <w:rsid w:val="00737FBB"/>
    <w:rsid w:val="00761B20"/>
    <w:rsid w:val="007624B4"/>
    <w:rsid w:val="007A1E61"/>
    <w:rsid w:val="007A4871"/>
    <w:rsid w:val="007C35F4"/>
    <w:rsid w:val="00802010"/>
    <w:rsid w:val="00814BAB"/>
    <w:rsid w:val="008365DE"/>
    <w:rsid w:val="00844B69"/>
    <w:rsid w:val="0085620E"/>
    <w:rsid w:val="00866071"/>
    <w:rsid w:val="00873863"/>
    <w:rsid w:val="0088721B"/>
    <w:rsid w:val="008A4A07"/>
    <w:rsid w:val="008F35B2"/>
    <w:rsid w:val="008F389B"/>
    <w:rsid w:val="008F5F89"/>
    <w:rsid w:val="009015A5"/>
    <w:rsid w:val="00924C0E"/>
    <w:rsid w:val="00926BE9"/>
    <w:rsid w:val="009403FE"/>
    <w:rsid w:val="00951228"/>
    <w:rsid w:val="00954FF9"/>
    <w:rsid w:val="00961E8E"/>
    <w:rsid w:val="009824C2"/>
    <w:rsid w:val="009862BD"/>
    <w:rsid w:val="0098670B"/>
    <w:rsid w:val="00991CC7"/>
    <w:rsid w:val="009F2294"/>
    <w:rsid w:val="009F635F"/>
    <w:rsid w:val="00A26FAE"/>
    <w:rsid w:val="00A2761D"/>
    <w:rsid w:val="00A44944"/>
    <w:rsid w:val="00A574AB"/>
    <w:rsid w:val="00A67ECA"/>
    <w:rsid w:val="00A7293C"/>
    <w:rsid w:val="00A97304"/>
    <w:rsid w:val="00AB08C9"/>
    <w:rsid w:val="00AF485D"/>
    <w:rsid w:val="00B52947"/>
    <w:rsid w:val="00B8010B"/>
    <w:rsid w:val="00B8218A"/>
    <w:rsid w:val="00B94201"/>
    <w:rsid w:val="00B94989"/>
    <w:rsid w:val="00B96C08"/>
    <w:rsid w:val="00BB3A0C"/>
    <w:rsid w:val="00BD140D"/>
    <w:rsid w:val="00BE7318"/>
    <w:rsid w:val="00BF3427"/>
    <w:rsid w:val="00BF5028"/>
    <w:rsid w:val="00C10745"/>
    <w:rsid w:val="00C1649D"/>
    <w:rsid w:val="00C25784"/>
    <w:rsid w:val="00C82C61"/>
    <w:rsid w:val="00C96E5E"/>
    <w:rsid w:val="00CB39D9"/>
    <w:rsid w:val="00CE2736"/>
    <w:rsid w:val="00CF2359"/>
    <w:rsid w:val="00D11A17"/>
    <w:rsid w:val="00D15750"/>
    <w:rsid w:val="00D32299"/>
    <w:rsid w:val="00D424B8"/>
    <w:rsid w:val="00D84A42"/>
    <w:rsid w:val="00D941F1"/>
    <w:rsid w:val="00DD4124"/>
    <w:rsid w:val="00DE4700"/>
    <w:rsid w:val="00DF7536"/>
    <w:rsid w:val="00E01058"/>
    <w:rsid w:val="00E16831"/>
    <w:rsid w:val="00E172B9"/>
    <w:rsid w:val="00E209AC"/>
    <w:rsid w:val="00E2512A"/>
    <w:rsid w:val="00E256E7"/>
    <w:rsid w:val="00E34F15"/>
    <w:rsid w:val="00E5029D"/>
    <w:rsid w:val="00E948A7"/>
    <w:rsid w:val="00EB04D1"/>
    <w:rsid w:val="00F26719"/>
    <w:rsid w:val="00F63D3E"/>
    <w:rsid w:val="00F74326"/>
    <w:rsid w:val="00F74FA2"/>
    <w:rsid w:val="00F74FEB"/>
    <w:rsid w:val="00F978E7"/>
    <w:rsid w:val="00FB0789"/>
    <w:rsid w:val="00FB6CE5"/>
    <w:rsid w:val="00FC7331"/>
    <w:rsid w:val="00F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4DDC"/>
  <w15:docId w15:val="{973DEB20-6D59-4167-9206-D9760E7F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973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47"/>
  </w:style>
  <w:style w:type="paragraph" w:styleId="Footer">
    <w:name w:val="footer"/>
    <w:basedOn w:val="Normal"/>
    <w:link w:val="FooterChar"/>
    <w:uiPriority w:val="99"/>
    <w:unhideWhenUsed/>
    <w:rsid w:val="0018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47"/>
  </w:style>
  <w:style w:type="paragraph" w:styleId="BalloonText">
    <w:name w:val="Balloon Text"/>
    <w:basedOn w:val="Normal"/>
    <w:link w:val="BalloonTextChar"/>
    <w:uiPriority w:val="99"/>
    <w:semiHidden/>
    <w:unhideWhenUsed/>
    <w:rsid w:val="0018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47"/>
    <w:rPr>
      <w:rFonts w:ascii="Tahoma" w:hAnsi="Tahoma" w:cs="Tahoma"/>
      <w:sz w:val="16"/>
      <w:szCs w:val="16"/>
    </w:rPr>
  </w:style>
  <w:style w:type="paragraph" w:styleId="ListParagraph">
    <w:name w:val="List Paragraph"/>
    <w:basedOn w:val="Normal"/>
    <w:uiPriority w:val="34"/>
    <w:qFormat/>
    <w:rsid w:val="00D424B8"/>
    <w:pPr>
      <w:ind w:left="720"/>
      <w:contextualSpacing/>
    </w:pPr>
  </w:style>
  <w:style w:type="character" w:styleId="Hyperlink">
    <w:name w:val="Hyperlink"/>
    <w:basedOn w:val="DefaultParagraphFont"/>
    <w:uiPriority w:val="99"/>
    <w:unhideWhenUsed/>
    <w:rsid w:val="00D424B8"/>
    <w:rPr>
      <w:color w:val="0000FF" w:themeColor="hyperlink"/>
      <w:u w:val="single"/>
    </w:rPr>
  </w:style>
  <w:style w:type="character" w:styleId="PlaceholderText">
    <w:name w:val="Placeholder Text"/>
    <w:basedOn w:val="DefaultParagraphFont"/>
    <w:uiPriority w:val="99"/>
    <w:semiHidden/>
    <w:rsid w:val="00B94201"/>
    <w:rPr>
      <w:color w:val="808080"/>
    </w:rPr>
  </w:style>
  <w:style w:type="table" w:styleId="TableGrid">
    <w:name w:val="Table Grid"/>
    <w:basedOn w:val="TableNormal"/>
    <w:uiPriority w:val="59"/>
    <w:rsid w:val="00B8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6217"/>
    <w:rPr>
      <w:color w:val="605E5C"/>
      <w:shd w:val="clear" w:color="auto" w:fill="E1DFDD"/>
    </w:rPr>
  </w:style>
  <w:style w:type="character" w:styleId="CommentReference">
    <w:name w:val="annotation reference"/>
    <w:basedOn w:val="DefaultParagraphFont"/>
    <w:uiPriority w:val="99"/>
    <w:semiHidden/>
    <w:unhideWhenUsed/>
    <w:rsid w:val="00333C12"/>
    <w:rPr>
      <w:sz w:val="16"/>
      <w:szCs w:val="16"/>
    </w:rPr>
  </w:style>
  <w:style w:type="paragraph" w:styleId="CommentText">
    <w:name w:val="annotation text"/>
    <w:basedOn w:val="Normal"/>
    <w:link w:val="CommentTextChar"/>
    <w:uiPriority w:val="99"/>
    <w:semiHidden/>
    <w:unhideWhenUsed/>
    <w:rsid w:val="00333C12"/>
    <w:pPr>
      <w:spacing w:line="240" w:lineRule="auto"/>
    </w:pPr>
    <w:rPr>
      <w:sz w:val="20"/>
      <w:szCs w:val="20"/>
    </w:rPr>
  </w:style>
  <w:style w:type="character" w:customStyle="1" w:styleId="CommentTextChar">
    <w:name w:val="Comment Text Char"/>
    <w:basedOn w:val="DefaultParagraphFont"/>
    <w:link w:val="CommentText"/>
    <w:uiPriority w:val="99"/>
    <w:semiHidden/>
    <w:rsid w:val="00333C12"/>
    <w:rPr>
      <w:sz w:val="20"/>
      <w:szCs w:val="20"/>
    </w:rPr>
  </w:style>
  <w:style w:type="paragraph" w:styleId="CommentSubject">
    <w:name w:val="annotation subject"/>
    <w:basedOn w:val="CommentText"/>
    <w:next w:val="CommentText"/>
    <w:link w:val="CommentSubjectChar"/>
    <w:uiPriority w:val="99"/>
    <w:semiHidden/>
    <w:unhideWhenUsed/>
    <w:rsid w:val="00333C12"/>
    <w:rPr>
      <w:b/>
      <w:bCs/>
    </w:rPr>
  </w:style>
  <w:style w:type="character" w:customStyle="1" w:styleId="CommentSubjectChar">
    <w:name w:val="Comment Subject Char"/>
    <w:basedOn w:val="CommentTextChar"/>
    <w:link w:val="CommentSubject"/>
    <w:uiPriority w:val="99"/>
    <w:semiHidden/>
    <w:rsid w:val="00333C12"/>
    <w:rPr>
      <w:b/>
      <w:bCs/>
      <w:sz w:val="20"/>
      <w:szCs w:val="20"/>
    </w:rPr>
  </w:style>
  <w:style w:type="character" w:customStyle="1" w:styleId="Heading4Char">
    <w:name w:val="Heading 4 Char"/>
    <w:basedOn w:val="DefaultParagraphFont"/>
    <w:link w:val="Heading4"/>
    <w:uiPriority w:val="9"/>
    <w:rsid w:val="00A97304"/>
    <w:rPr>
      <w:rFonts w:asciiTheme="majorHAnsi" w:eastAsiaTheme="majorEastAsia" w:hAnsiTheme="majorHAnsi" w:cstheme="majorBidi"/>
      <w:b/>
      <w:bCs/>
      <w:i/>
      <w:iCs/>
      <w:color w:val="4F81BD" w:themeColor="accent1"/>
    </w:rPr>
  </w:style>
  <w:style w:type="character" w:customStyle="1" w:styleId="UnresolvedMention2">
    <w:name w:val="Unresolved Mention2"/>
    <w:basedOn w:val="DefaultParagraphFont"/>
    <w:uiPriority w:val="99"/>
    <w:semiHidden/>
    <w:unhideWhenUsed/>
    <w:rsid w:val="009862BD"/>
    <w:rPr>
      <w:color w:val="605E5C"/>
      <w:shd w:val="clear" w:color="auto" w:fill="E1DFDD"/>
    </w:rPr>
  </w:style>
  <w:style w:type="paragraph" w:styleId="Revision">
    <w:name w:val="Revision"/>
    <w:hidden/>
    <w:uiPriority w:val="99"/>
    <w:semiHidden/>
    <w:rsid w:val="008A4A07"/>
    <w:pPr>
      <w:spacing w:after="0" w:line="240" w:lineRule="auto"/>
    </w:pPr>
  </w:style>
  <w:style w:type="paragraph" w:customStyle="1" w:styleId="Default">
    <w:name w:val="Default"/>
    <w:rsid w:val="001135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D-2020-SCC-01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chanan_C@cde.state.co.us" TargetMode="External"/><Relationship Id="rId4" Type="http://schemas.openxmlformats.org/officeDocument/2006/relationships/settings" Target="settings.xml"/><Relationship Id="rId9" Type="http://schemas.openxmlformats.org/officeDocument/2006/relationships/hyperlink" Target="http://www.cde.state.co.us/21stccl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176B-5F32-4701-917D-7696549F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Scott, Dana</cp:lastModifiedBy>
  <cp:revision>2</cp:revision>
  <cp:lastPrinted>2013-11-01T19:50:00Z</cp:lastPrinted>
  <dcterms:created xsi:type="dcterms:W3CDTF">2020-11-02T16:29:00Z</dcterms:created>
  <dcterms:modified xsi:type="dcterms:W3CDTF">2020-11-02T16:29:00Z</dcterms:modified>
</cp:coreProperties>
</file>