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814" w:rsidRDefault="00855814" w:rsidP="00855814">
      <w:pPr>
        <w:spacing w:line="480" w:lineRule="auto"/>
        <w:rPr>
          <w:b/>
          <w:sz w:val="32"/>
          <w:szCs w:val="32"/>
        </w:rPr>
      </w:pPr>
      <w:bookmarkStart w:id="0" w:name="_GoBack"/>
      <w:bookmarkEnd w:id="0"/>
    </w:p>
    <w:p w:rsidR="00855814" w:rsidRDefault="00855814" w:rsidP="00855814">
      <w:pPr>
        <w:spacing w:line="480" w:lineRule="auto"/>
        <w:jc w:val="center"/>
        <w:rPr>
          <w:b/>
          <w:sz w:val="32"/>
          <w:szCs w:val="32"/>
        </w:rPr>
      </w:pPr>
      <w:r>
        <w:rPr>
          <w:rFonts w:ascii="Calibri" w:hAnsi="Calibri"/>
          <w:noProof/>
          <w:color w:val="000000"/>
        </w:rPr>
        <w:drawing>
          <wp:inline distT="0" distB="0" distL="0" distR="0" wp14:anchorId="29D239AF" wp14:editId="00FBB755">
            <wp:extent cx="4286250" cy="1714500"/>
            <wp:effectExtent l="0" t="0" r="0" b="0"/>
            <wp:docPr id="10" name="Picture 10" descr="https://lh4.googleusercontent.com/oIMVH1vDi4GZTsuxu-rKl-xMC3oS7NpzUka5v_-759uxYsQn5TnKCh7P01UbA-9voxVO1nk1a5OZetxQqHoro7unzXvCfILuoOD3TNxsM1i_ccoc2DhdMdU4q8kcnHdDfhT6T3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IMVH1vDi4GZTsuxu-rKl-xMC3oS7NpzUka5v_-759uxYsQn5TnKCh7P01UbA-9voxVO1nk1a5OZetxQqHoro7unzXvCfILuoOD3TNxsM1i_ccoc2DhdMdU4q8kcnHdDfhT6T3J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714500"/>
                    </a:xfrm>
                    <a:prstGeom prst="rect">
                      <a:avLst/>
                    </a:prstGeom>
                    <a:noFill/>
                    <a:ln>
                      <a:noFill/>
                    </a:ln>
                  </pic:spPr>
                </pic:pic>
              </a:graphicData>
            </a:graphic>
          </wp:inline>
        </w:drawing>
      </w:r>
    </w:p>
    <w:p w:rsidR="00855814" w:rsidRDefault="00855814" w:rsidP="00855814">
      <w:pPr>
        <w:spacing w:after="0" w:line="360" w:lineRule="auto"/>
        <w:jc w:val="center"/>
        <w:rPr>
          <w:b/>
          <w:sz w:val="56"/>
          <w:szCs w:val="56"/>
        </w:rPr>
      </w:pPr>
    </w:p>
    <w:p w:rsidR="00855814" w:rsidRPr="00855814" w:rsidRDefault="00855814" w:rsidP="00855814">
      <w:pPr>
        <w:spacing w:after="0" w:line="360" w:lineRule="auto"/>
        <w:jc w:val="center"/>
        <w:rPr>
          <w:b/>
          <w:sz w:val="56"/>
          <w:szCs w:val="56"/>
        </w:rPr>
      </w:pPr>
      <w:r w:rsidRPr="00855814">
        <w:rPr>
          <w:b/>
          <w:sz w:val="56"/>
          <w:szCs w:val="56"/>
        </w:rPr>
        <w:t>EVALUATION REPORT</w:t>
      </w:r>
    </w:p>
    <w:p w:rsidR="00855814" w:rsidRPr="00855814" w:rsidRDefault="00855814" w:rsidP="00855814">
      <w:pPr>
        <w:spacing w:after="0" w:line="360" w:lineRule="auto"/>
        <w:jc w:val="center"/>
        <w:rPr>
          <w:b/>
          <w:sz w:val="56"/>
          <w:szCs w:val="56"/>
        </w:rPr>
      </w:pPr>
      <w:r w:rsidRPr="00855814">
        <w:rPr>
          <w:b/>
          <w:sz w:val="56"/>
          <w:szCs w:val="56"/>
        </w:rPr>
        <w:t>SCHOOL YEAR 2018-2019</w:t>
      </w:r>
    </w:p>
    <w:p w:rsidR="00855814" w:rsidRDefault="00855814" w:rsidP="00855814">
      <w:pPr>
        <w:spacing w:after="0" w:line="360" w:lineRule="auto"/>
        <w:jc w:val="center"/>
        <w:rPr>
          <w:b/>
          <w:sz w:val="56"/>
          <w:szCs w:val="56"/>
        </w:rPr>
      </w:pPr>
      <w:r w:rsidRPr="00855814">
        <w:rPr>
          <w:b/>
          <w:sz w:val="56"/>
          <w:szCs w:val="56"/>
        </w:rPr>
        <w:t>BY: PETER MARLE, ANALYST ACOUNTABILITY &amp; RESEARCH AURORA PUBLIC SCHOOLS</w:t>
      </w:r>
    </w:p>
    <w:p w:rsidR="00855814" w:rsidRDefault="00855814" w:rsidP="00855814">
      <w:pPr>
        <w:spacing w:after="0" w:line="360" w:lineRule="auto"/>
        <w:rPr>
          <w:b/>
          <w:sz w:val="56"/>
          <w:szCs w:val="56"/>
        </w:rPr>
      </w:pPr>
    </w:p>
    <w:p w:rsidR="00855814" w:rsidRDefault="00855814" w:rsidP="00855814">
      <w:pPr>
        <w:spacing w:after="0" w:line="360" w:lineRule="auto"/>
        <w:jc w:val="center"/>
        <w:rPr>
          <w:b/>
          <w:sz w:val="56"/>
          <w:szCs w:val="56"/>
        </w:rPr>
      </w:pPr>
    </w:p>
    <w:p w:rsidR="00855814" w:rsidRPr="00855814" w:rsidRDefault="00855814" w:rsidP="00855814">
      <w:pPr>
        <w:spacing w:after="0" w:line="360" w:lineRule="auto"/>
        <w:jc w:val="center"/>
        <w:rPr>
          <w:b/>
          <w:sz w:val="56"/>
          <w:szCs w:val="56"/>
        </w:rPr>
      </w:pPr>
    </w:p>
    <w:p w:rsidR="005143D5" w:rsidRPr="00855814" w:rsidRDefault="005143D5" w:rsidP="00855814">
      <w:pPr>
        <w:spacing w:after="0" w:line="360" w:lineRule="auto"/>
        <w:jc w:val="center"/>
        <w:rPr>
          <w:b/>
          <w:sz w:val="72"/>
          <w:szCs w:val="72"/>
        </w:rPr>
      </w:pPr>
      <w:r w:rsidRPr="00CE7C79">
        <w:rPr>
          <w:b/>
          <w:sz w:val="32"/>
          <w:szCs w:val="32"/>
        </w:rPr>
        <w:lastRenderedPageBreak/>
        <w:t>TABLE OF CONTENTS</w:t>
      </w:r>
    </w:p>
    <w:p w:rsidR="005143D5" w:rsidRDefault="005143D5" w:rsidP="005143D5">
      <w:pPr>
        <w:pStyle w:val="ListParagraph"/>
        <w:numPr>
          <w:ilvl w:val="0"/>
          <w:numId w:val="5"/>
        </w:numPr>
        <w:spacing w:line="480" w:lineRule="auto"/>
        <w:rPr>
          <w:sz w:val="28"/>
          <w:szCs w:val="28"/>
        </w:rPr>
      </w:pPr>
      <w:r w:rsidRPr="00CE7C79">
        <w:rPr>
          <w:sz w:val="28"/>
          <w:szCs w:val="28"/>
        </w:rPr>
        <w:t>Introduction</w:t>
      </w:r>
      <w:r w:rsidRPr="00CE7C7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Pr="00CE7C79">
        <w:rPr>
          <w:sz w:val="28"/>
          <w:szCs w:val="28"/>
        </w:rPr>
        <w:tab/>
      </w:r>
      <w:r w:rsidRPr="00CE7C79">
        <w:rPr>
          <w:sz w:val="28"/>
          <w:szCs w:val="28"/>
        </w:rPr>
        <w:tab/>
      </w:r>
      <w:r w:rsidRPr="00CE7C79">
        <w:rPr>
          <w:sz w:val="28"/>
          <w:szCs w:val="28"/>
        </w:rPr>
        <w:tab/>
      </w:r>
      <w:r w:rsidRPr="00CE7C79">
        <w:rPr>
          <w:sz w:val="28"/>
          <w:szCs w:val="28"/>
        </w:rPr>
        <w:tab/>
      </w:r>
    </w:p>
    <w:p w:rsidR="005143D5" w:rsidRPr="00CE7C79" w:rsidRDefault="005143D5" w:rsidP="005143D5">
      <w:pPr>
        <w:pStyle w:val="ListParagraph"/>
        <w:numPr>
          <w:ilvl w:val="1"/>
          <w:numId w:val="5"/>
        </w:numPr>
        <w:spacing w:line="480" w:lineRule="auto"/>
        <w:rPr>
          <w:sz w:val="28"/>
          <w:szCs w:val="28"/>
        </w:rPr>
      </w:pPr>
      <w:r w:rsidRPr="00CE7C79">
        <w:rPr>
          <w:sz w:val="28"/>
          <w:szCs w:val="28"/>
        </w:rPr>
        <w:t>Program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C75E9">
        <w:rPr>
          <w:sz w:val="28"/>
          <w:szCs w:val="28"/>
        </w:rPr>
        <w:t>2</w:t>
      </w:r>
    </w:p>
    <w:p w:rsidR="005143D5" w:rsidRPr="00CE7C79" w:rsidRDefault="005143D5" w:rsidP="005143D5">
      <w:pPr>
        <w:pStyle w:val="ListParagraph"/>
        <w:numPr>
          <w:ilvl w:val="1"/>
          <w:numId w:val="5"/>
        </w:numPr>
        <w:spacing w:line="480" w:lineRule="auto"/>
        <w:rPr>
          <w:sz w:val="28"/>
          <w:szCs w:val="28"/>
        </w:rPr>
      </w:pPr>
      <w:r w:rsidRPr="00CE7C79">
        <w:rPr>
          <w:sz w:val="28"/>
          <w:szCs w:val="28"/>
        </w:rPr>
        <w:t>Vision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C75E9">
        <w:rPr>
          <w:sz w:val="28"/>
          <w:szCs w:val="28"/>
        </w:rPr>
        <w:t>2</w:t>
      </w:r>
    </w:p>
    <w:p w:rsidR="005143D5" w:rsidRPr="00CE7C79" w:rsidRDefault="005143D5" w:rsidP="005143D5">
      <w:pPr>
        <w:pStyle w:val="ListParagraph"/>
        <w:numPr>
          <w:ilvl w:val="1"/>
          <w:numId w:val="5"/>
        </w:numPr>
        <w:spacing w:line="480" w:lineRule="auto"/>
        <w:rPr>
          <w:sz w:val="28"/>
          <w:szCs w:val="28"/>
        </w:rPr>
      </w:pPr>
      <w:r w:rsidRPr="00CE7C79">
        <w:rPr>
          <w:sz w:val="28"/>
          <w:szCs w:val="28"/>
        </w:rPr>
        <w:t>Performance Measures</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3</w:t>
      </w:r>
    </w:p>
    <w:p w:rsidR="005143D5" w:rsidRPr="00CE7C79" w:rsidRDefault="005143D5" w:rsidP="005143D5">
      <w:pPr>
        <w:pStyle w:val="ListParagraph"/>
        <w:numPr>
          <w:ilvl w:val="0"/>
          <w:numId w:val="5"/>
        </w:numPr>
        <w:spacing w:line="480" w:lineRule="auto"/>
        <w:rPr>
          <w:sz w:val="28"/>
          <w:szCs w:val="28"/>
        </w:rPr>
      </w:pPr>
      <w:r w:rsidRPr="00CE7C79">
        <w:rPr>
          <w:sz w:val="28"/>
          <w:szCs w:val="28"/>
        </w:rPr>
        <w:t>Observations</w:t>
      </w:r>
    </w:p>
    <w:p w:rsidR="005143D5" w:rsidRPr="00CE7C79" w:rsidRDefault="005143D5" w:rsidP="005143D5">
      <w:pPr>
        <w:pStyle w:val="ListParagraph"/>
        <w:numPr>
          <w:ilvl w:val="1"/>
          <w:numId w:val="5"/>
        </w:numPr>
        <w:spacing w:line="480" w:lineRule="auto"/>
        <w:rPr>
          <w:sz w:val="28"/>
          <w:szCs w:val="28"/>
        </w:rPr>
      </w:pPr>
      <w:r w:rsidRPr="00CE7C79">
        <w:rPr>
          <w:sz w:val="28"/>
          <w:szCs w:val="28"/>
        </w:rPr>
        <w:t>Kenton</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4</w:t>
      </w:r>
    </w:p>
    <w:p w:rsidR="005143D5" w:rsidRPr="00CE7C79" w:rsidRDefault="005143D5" w:rsidP="005143D5">
      <w:pPr>
        <w:pStyle w:val="ListParagraph"/>
        <w:numPr>
          <w:ilvl w:val="1"/>
          <w:numId w:val="5"/>
        </w:numPr>
        <w:spacing w:line="480" w:lineRule="auto"/>
        <w:rPr>
          <w:sz w:val="28"/>
          <w:szCs w:val="28"/>
        </w:rPr>
      </w:pPr>
      <w:r w:rsidRPr="00CE7C79">
        <w:rPr>
          <w:sz w:val="28"/>
          <w:szCs w:val="28"/>
        </w:rPr>
        <w:t>Aurora Hills</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5</w:t>
      </w:r>
    </w:p>
    <w:p w:rsidR="005143D5" w:rsidRPr="00CE7C79" w:rsidRDefault="005143D5" w:rsidP="005143D5">
      <w:pPr>
        <w:pStyle w:val="ListParagraph"/>
        <w:numPr>
          <w:ilvl w:val="1"/>
          <w:numId w:val="5"/>
        </w:numPr>
        <w:spacing w:line="480" w:lineRule="auto"/>
        <w:rPr>
          <w:sz w:val="28"/>
          <w:szCs w:val="28"/>
        </w:rPr>
      </w:pPr>
      <w:r w:rsidRPr="00CE7C79">
        <w:rPr>
          <w:sz w:val="28"/>
          <w:szCs w:val="28"/>
        </w:rPr>
        <w:t>Student Profiles</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6</w:t>
      </w:r>
    </w:p>
    <w:p w:rsidR="005143D5" w:rsidRPr="00CE7C79" w:rsidRDefault="005143D5" w:rsidP="005143D5">
      <w:pPr>
        <w:pStyle w:val="ListParagraph"/>
        <w:numPr>
          <w:ilvl w:val="0"/>
          <w:numId w:val="5"/>
        </w:numPr>
        <w:spacing w:line="480" w:lineRule="auto"/>
        <w:rPr>
          <w:sz w:val="28"/>
          <w:szCs w:val="28"/>
        </w:rPr>
      </w:pPr>
      <w:r w:rsidRPr="00CE7C79">
        <w:rPr>
          <w:sz w:val="28"/>
          <w:szCs w:val="28"/>
        </w:rPr>
        <w:t>Assessment</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7</w:t>
      </w:r>
    </w:p>
    <w:p w:rsidR="005143D5" w:rsidRPr="00CE7C79" w:rsidRDefault="005143D5" w:rsidP="005143D5">
      <w:pPr>
        <w:pStyle w:val="ListParagraph"/>
        <w:numPr>
          <w:ilvl w:val="1"/>
          <w:numId w:val="5"/>
        </w:numPr>
        <w:spacing w:line="480" w:lineRule="auto"/>
        <w:rPr>
          <w:sz w:val="28"/>
          <w:szCs w:val="28"/>
        </w:rPr>
      </w:pPr>
      <w:r w:rsidRPr="00CE7C79">
        <w:rPr>
          <w:sz w:val="28"/>
          <w:szCs w:val="28"/>
        </w:rPr>
        <w:t>Pre-participation comparisons</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8</w:t>
      </w:r>
    </w:p>
    <w:p w:rsidR="005143D5" w:rsidRPr="00CE7C79" w:rsidRDefault="005143D5" w:rsidP="005143D5">
      <w:pPr>
        <w:pStyle w:val="ListParagraph"/>
        <w:numPr>
          <w:ilvl w:val="1"/>
          <w:numId w:val="5"/>
        </w:numPr>
        <w:spacing w:line="480" w:lineRule="auto"/>
        <w:rPr>
          <w:sz w:val="28"/>
          <w:szCs w:val="28"/>
        </w:rPr>
      </w:pPr>
      <w:r w:rsidRPr="00CE7C79">
        <w:rPr>
          <w:sz w:val="28"/>
          <w:szCs w:val="28"/>
        </w:rPr>
        <w:t>Behavior and Attendance</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9</w:t>
      </w:r>
    </w:p>
    <w:p w:rsidR="005143D5" w:rsidRPr="00CE7C79" w:rsidRDefault="005143D5" w:rsidP="005143D5">
      <w:pPr>
        <w:pStyle w:val="ListParagraph"/>
        <w:numPr>
          <w:ilvl w:val="1"/>
          <w:numId w:val="5"/>
        </w:numPr>
        <w:spacing w:line="480" w:lineRule="auto"/>
        <w:rPr>
          <w:sz w:val="28"/>
          <w:szCs w:val="28"/>
        </w:rPr>
      </w:pPr>
      <w:r w:rsidRPr="00CE7C79">
        <w:rPr>
          <w:sz w:val="28"/>
          <w:szCs w:val="28"/>
        </w:rPr>
        <w:t>Post-participation comparison</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12</w:t>
      </w:r>
    </w:p>
    <w:p w:rsidR="005143D5" w:rsidRPr="00CE7C79" w:rsidRDefault="005143D5" w:rsidP="005143D5">
      <w:pPr>
        <w:pStyle w:val="ListParagraph"/>
        <w:numPr>
          <w:ilvl w:val="0"/>
          <w:numId w:val="5"/>
        </w:numPr>
        <w:spacing w:line="480" w:lineRule="auto"/>
        <w:rPr>
          <w:sz w:val="28"/>
          <w:szCs w:val="28"/>
        </w:rPr>
      </w:pPr>
      <w:r w:rsidRPr="00CE7C79">
        <w:rPr>
          <w:sz w:val="28"/>
          <w:szCs w:val="28"/>
        </w:rPr>
        <w:t>Survey Results</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12</w:t>
      </w:r>
    </w:p>
    <w:p w:rsidR="005143D5" w:rsidRPr="00CE7C79" w:rsidRDefault="005143D5" w:rsidP="005143D5">
      <w:pPr>
        <w:pStyle w:val="ListParagraph"/>
        <w:numPr>
          <w:ilvl w:val="0"/>
          <w:numId w:val="5"/>
        </w:numPr>
        <w:spacing w:line="480" w:lineRule="auto"/>
        <w:rPr>
          <w:sz w:val="28"/>
          <w:szCs w:val="28"/>
        </w:rPr>
      </w:pPr>
      <w:r w:rsidRPr="00CE7C79">
        <w:rPr>
          <w:sz w:val="28"/>
          <w:szCs w:val="28"/>
        </w:rPr>
        <w:t>Interview Results</w:t>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r>
      <w:r w:rsidR="005C75E9">
        <w:rPr>
          <w:sz w:val="28"/>
          <w:szCs w:val="28"/>
        </w:rPr>
        <w:tab/>
        <w:t>14</w:t>
      </w:r>
    </w:p>
    <w:p w:rsidR="005143D5" w:rsidRDefault="005143D5" w:rsidP="00C9241E">
      <w:pPr>
        <w:spacing w:after="0" w:line="480" w:lineRule="auto"/>
        <w:rPr>
          <w:b/>
        </w:rPr>
      </w:pPr>
    </w:p>
    <w:p w:rsidR="005143D5" w:rsidRDefault="005143D5" w:rsidP="00C9241E">
      <w:pPr>
        <w:spacing w:after="0" w:line="480" w:lineRule="auto"/>
        <w:rPr>
          <w:b/>
        </w:rPr>
      </w:pPr>
    </w:p>
    <w:p w:rsidR="005143D5" w:rsidRDefault="005143D5" w:rsidP="00C9241E">
      <w:pPr>
        <w:spacing w:after="0" w:line="480" w:lineRule="auto"/>
        <w:rPr>
          <w:b/>
        </w:rPr>
      </w:pPr>
    </w:p>
    <w:p w:rsidR="005143D5" w:rsidRDefault="005143D5" w:rsidP="00C9241E">
      <w:pPr>
        <w:spacing w:after="0" w:line="480" w:lineRule="auto"/>
        <w:rPr>
          <w:b/>
        </w:rPr>
      </w:pPr>
    </w:p>
    <w:p w:rsidR="005143D5" w:rsidRDefault="005143D5" w:rsidP="00C9241E">
      <w:pPr>
        <w:spacing w:after="0" w:line="480" w:lineRule="auto"/>
        <w:rPr>
          <w:b/>
        </w:rPr>
      </w:pPr>
    </w:p>
    <w:p w:rsidR="009A12B8" w:rsidRDefault="009A12B8" w:rsidP="00C9241E">
      <w:pPr>
        <w:spacing w:after="0" w:line="480" w:lineRule="auto"/>
        <w:rPr>
          <w:b/>
        </w:rPr>
      </w:pPr>
    </w:p>
    <w:p w:rsidR="00B311F1" w:rsidRDefault="00C9241E" w:rsidP="00C9241E">
      <w:pPr>
        <w:spacing w:after="0" w:line="480" w:lineRule="auto"/>
        <w:rPr>
          <w:b/>
        </w:rPr>
      </w:pPr>
      <w:r w:rsidRPr="00C9241E">
        <w:rPr>
          <w:b/>
        </w:rPr>
        <w:lastRenderedPageBreak/>
        <w:t>I</w:t>
      </w:r>
      <w:r>
        <w:rPr>
          <w:b/>
        </w:rPr>
        <w:t>ntroduction</w:t>
      </w:r>
    </w:p>
    <w:p w:rsidR="00C9241E" w:rsidRPr="00C9241E" w:rsidRDefault="00C9241E" w:rsidP="00C9241E">
      <w:pPr>
        <w:spacing w:after="0" w:line="480" w:lineRule="auto"/>
        <w:rPr>
          <w:b/>
        </w:rPr>
      </w:pPr>
      <w:r>
        <w:rPr>
          <w:b/>
        </w:rPr>
        <w:t>Program and Goals</w:t>
      </w:r>
    </w:p>
    <w:p w:rsidR="00C9241E" w:rsidRPr="00C9241E" w:rsidRDefault="00C9241E" w:rsidP="00C9241E">
      <w:pPr>
        <w:spacing w:after="0" w:line="480" w:lineRule="auto"/>
      </w:pPr>
      <w:r w:rsidRPr="00C9241E">
        <w:t xml:space="preserve">For the past 20 years, the Aurora Public Schools (APS) and the City of Aurora (COA) have developed an afterschool partnership model that aligns the curriculum frameworks and grade level content from the school day with out-of-school-time academic and enrichment activities to complement students’ classroom successes and enhance positive youth development. This model is branded the Community </w:t>
      </w:r>
      <w:proofErr w:type="gramStart"/>
      <w:r w:rsidRPr="00C9241E">
        <w:t>Of Many Providing After</w:t>
      </w:r>
      <w:proofErr w:type="gramEnd"/>
      <w:r w:rsidRPr="00C9241E">
        <w:t xml:space="preserve"> School Success (COMPASS) Program. The COMPASS Program is recognized as a collaborative partnership that successfully promotes student academic achievement, youth development, and school engagement.</w:t>
      </w:r>
    </w:p>
    <w:p w:rsidR="00C9241E" w:rsidRPr="00C9241E" w:rsidRDefault="00C9241E" w:rsidP="00C9241E">
      <w:pPr>
        <w:spacing w:after="0" w:line="480" w:lineRule="auto"/>
      </w:pPr>
    </w:p>
    <w:p w:rsidR="00C9241E" w:rsidRPr="00C9241E" w:rsidRDefault="00C9241E" w:rsidP="00C9241E">
      <w:pPr>
        <w:spacing w:after="0" w:line="480" w:lineRule="auto"/>
        <w:rPr>
          <w:b/>
        </w:rPr>
      </w:pPr>
      <w:r w:rsidRPr="00C9241E">
        <w:rPr>
          <w:b/>
        </w:rPr>
        <w:t>Vision</w:t>
      </w:r>
    </w:p>
    <w:p w:rsidR="00C9241E" w:rsidRPr="00C9241E" w:rsidRDefault="00C9241E" w:rsidP="00C9241E">
      <w:pPr>
        <w:spacing w:after="0" w:line="480" w:lineRule="auto"/>
      </w:pPr>
      <w:r w:rsidRPr="00C9241E">
        <w:t>By working collaboratively, COMPASS will assure every child in Aurora the ongoing opportunity to participate in diverse out-of-school enrichment activities that support academic success and positive youth development.</w:t>
      </w:r>
    </w:p>
    <w:p w:rsidR="00C9241E" w:rsidRPr="00C9241E" w:rsidRDefault="00C9241E" w:rsidP="00C9241E">
      <w:pPr>
        <w:spacing w:after="0" w:line="480" w:lineRule="auto"/>
      </w:pPr>
    </w:p>
    <w:p w:rsidR="00C9241E" w:rsidRPr="00C9241E" w:rsidRDefault="00C9241E" w:rsidP="00C9241E">
      <w:pPr>
        <w:spacing w:after="0" w:line="480" w:lineRule="auto"/>
      </w:pPr>
      <w:r w:rsidRPr="00C9241E">
        <w:t>The COMPASS Program strives to provide academic support and enrichment opportunities that:</w:t>
      </w:r>
    </w:p>
    <w:p w:rsidR="00C9241E" w:rsidRPr="00C9241E" w:rsidRDefault="00C9241E" w:rsidP="005C75E9">
      <w:pPr>
        <w:pStyle w:val="ListParagraph"/>
        <w:numPr>
          <w:ilvl w:val="0"/>
          <w:numId w:val="6"/>
        </w:numPr>
        <w:spacing w:after="0" w:line="480" w:lineRule="auto"/>
      </w:pPr>
      <w:r w:rsidRPr="00C9241E">
        <w:t>Focus on positive youth development strategies, foster youth engagement and focus on inclusiveness and resiliency to promote a positive identity</w:t>
      </w:r>
    </w:p>
    <w:p w:rsidR="00C9241E" w:rsidRPr="00C9241E" w:rsidRDefault="00C9241E" w:rsidP="005C75E9">
      <w:pPr>
        <w:pStyle w:val="ListParagraph"/>
        <w:numPr>
          <w:ilvl w:val="0"/>
          <w:numId w:val="6"/>
        </w:numPr>
        <w:spacing w:after="0" w:line="480" w:lineRule="auto"/>
      </w:pPr>
      <w:r w:rsidRPr="00C9241E">
        <w:t>Improve academic performance through a combination of academic and enrichment experiences</w:t>
      </w:r>
    </w:p>
    <w:p w:rsidR="00C9241E" w:rsidRPr="00C9241E" w:rsidRDefault="00C9241E" w:rsidP="005C75E9">
      <w:pPr>
        <w:pStyle w:val="ListParagraph"/>
        <w:numPr>
          <w:ilvl w:val="0"/>
          <w:numId w:val="6"/>
        </w:numPr>
        <w:spacing w:after="0" w:line="480" w:lineRule="auto"/>
      </w:pPr>
      <w:r w:rsidRPr="00C9241E">
        <w:t>Strengthen community collaboration between all stakeholders for student success</w:t>
      </w:r>
    </w:p>
    <w:p w:rsidR="00C9241E" w:rsidRDefault="00C9241E" w:rsidP="005C75E9">
      <w:pPr>
        <w:pStyle w:val="ListParagraph"/>
        <w:numPr>
          <w:ilvl w:val="0"/>
          <w:numId w:val="6"/>
        </w:numPr>
        <w:spacing w:after="0" w:line="480" w:lineRule="auto"/>
      </w:pPr>
      <w:r w:rsidRPr="00C9241E">
        <w:t>Provide an opportunity for children to make new friends, learn new skills and explore new interests</w:t>
      </w:r>
    </w:p>
    <w:p w:rsidR="00C9241E" w:rsidRPr="00C9241E" w:rsidRDefault="00C9241E" w:rsidP="00C9241E">
      <w:pPr>
        <w:spacing w:after="0" w:line="480" w:lineRule="auto"/>
        <w:rPr>
          <w:b/>
        </w:rPr>
      </w:pPr>
      <w:r w:rsidRPr="00C9241E">
        <w:rPr>
          <w:b/>
        </w:rPr>
        <w:lastRenderedPageBreak/>
        <w:t>Performance Measurements</w:t>
      </w:r>
    </w:p>
    <w:p w:rsidR="00C9241E" w:rsidRPr="00C9241E" w:rsidRDefault="005C75E9" w:rsidP="00C9241E">
      <w:pPr>
        <w:spacing w:after="0" w:line="480" w:lineRule="auto"/>
      </w:pPr>
      <w:r>
        <w:t xml:space="preserve">PM 1 - </w:t>
      </w:r>
      <w:r w:rsidR="00C9241E" w:rsidRPr="00C9241E">
        <w:t>Core Academic</w:t>
      </w:r>
    </w:p>
    <w:p w:rsidR="00C9241E" w:rsidRPr="00C9241E" w:rsidRDefault="001E0374" w:rsidP="00C9241E">
      <w:pPr>
        <w:spacing w:after="0" w:line="480" w:lineRule="auto"/>
      </w:pPr>
      <w:r>
        <w:t>-</w:t>
      </w:r>
      <w:r w:rsidR="00C9241E" w:rsidRPr="00C9241E">
        <w:t>60% of all regular attendee students, who received continuous support in small group</w:t>
      </w:r>
    </w:p>
    <w:p w:rsidR="00C9241E" w:rsidRPr="00C9241E" w:rsidRDefault="00C9241E" w:rsidP="00C9241E">
      <w:pPr>
        <w:spacing w:after="0" w:line="480" w:lineRule="auto"/>
      </w:pPr>
      <w:proofErr w:type="gramStart"/>
      <w:r w:rsidRPr="00C9241E">
        <w:t>literacy</w:t>
      </w:r>
      <w:proofErr w:type="gramEnd"/>
      <w:r w:rsidRPr="00C9241E">
        <w:t xml:space="preserve"> support, will attain a median growth percentile of 50 in English Language Arts, as measured by CMAS/PARCC (or other designated state assessment) with a 5% increase of regular attendee students to meet that goal for each of the </w:t>
      </w:r>
      <w:r>
        <w:t>following 2 years of the grant.</w:t>
      </w:r>
    </w:p>
    <w:p w:rsidR="00C9241E" w:rsidRPr="00C9241E" w:rsidRDefault="00C9241E" w:rsidP="00C9241E">
      <w:pPr>
        <w:spacing w:after="0" w:line="480" w:lineRule="auto"/>
      </w:pPr>
      <w:r w:rsidRPr="00C9241E">
        <w:t xml:space="preserve">-10% of ELL students will have 1 </w:t>
      </w:r>
      <w:proofErr w:type="gramStart"/>
      <w:r w:rsidRPr="00C9241E">
        <w:t>years</w:t>
      </w:r>
      <w:proofErr w:type="gramEnd"/>
      <w:r w:rsidRPr="00C9241E">
        <w:t xml:space="preserve"> growth on WIDA Access Assessment (when</w:t>
      </w:r>
    </w:p>
    <w:p w:rsidR="00C9241E" w:rsidRPr="00C9241E" w:rsidRDefault="00C9241E" w:rsidP="00C9241E">
      <w:pPr>
        <w:spacing w:after="0" w:line="480" w:lineRule="auto"/>
      </w:pPr>
      <w:proofErr w:type="gramStart"/>
      <w:r w:rsidRPr="00C9241E">
        <w:t>assessment</w:t>
      </w:r>
      <w:proofErr w:type="gramEnd"/>
      <w:r w:rsidRPr="00C9241E">
        <w:t xml:space="preserve"> has been re-introduced to the district for use).</w:t>
      </w:r>
    </w:p>
    <w:p w:rsidR="00C9241E" w:rsidRPr="00C9241E" w:rsidRDefault="00C9241E" w:rsidP="00C9241E">
      <w:pPr>
        <w:spacing w:after="0" w:line="480" w:lineRule="auto"/>
      </w:pPr>
    </w:p>
    <w:p w:rsidR="00C9241E" w:rsidRPr="00C9241E" w:rsidRDefault="00C9241E" w:rsidP="00C9241E">
      <w:pPr>
        <w:spacing w:after="0" w:line="480" w:lineRule="auto"/>
      </w:pPr>
      <w:r w:rsidRPr="00C9241E">
        <w:t>PM 2 - Essential Skills/Educational Enrichment</w:t>
      </w:r>
    </w:p>
    <w:p w:rsidR="00C9241E" w:rsidRPr="00C9241E" w:rsidRDefault="00C9241E" w:rsidP="00C9241E">
      <w:pPr>
        <w:spacing w:after="0" w:line="480" w:lineRule="auto"/>
      </w:pPr>
      <w:r w:rsidRPr="00C9241E">
        <w:t>90% of regular attenders will show increased leadership skills and will have an understanding of various cultural traditions, as measured by retrospective survey and focus group/interview questions.</w:t>
      </w:r>
    </w:p>
    <w:p w:rsidR="00C9241E" w:rsidRPr="00C9241E" w:rsidRDefault="00C9241E" w:rsidP="00C9241E">
      <w:pPr>
        <w:spacing w:after="0" w:line="480" w:lineRule="auto"/>
      </w:pPr>
    </w:p>
    <w:p w:rsidR="00C9241E" w:rsidRPr="00C9241E" w:rsidRDefault="00C9241E" w:rsidP="00C9241E">
      <w:pPr>
        <w:spacing w:after="0" w:line="480" w:lineRule="auto"/>
      </w:pPr>
      <w:r w:rsidRPr="00C9241E">
        <w:t>PM 3 - Attendance</w:t>
      </w:r>
    </w:p>
    <w:p w:rsidR="00C9241E" w:rsidRDefault="00C9241E" w:rsidP="00C9241E">
      <w:pPr>
        <w:spacing w:after="0" w:line="480" w:lineRule="auto"/>
      </w:pPr>
      <w:r w:rsidRPr="00C9241E">
        <w:t>Each year of the grant, 90% of regular attenders will have a minimum of 85% Average Daily Attendance during the regular school day</w:t>
      </w:r>
      <w:r w:rsidR="001E0374">
        <w:t>.</w:t>
      </w:r>
    </w:p>
    <w:p w:rsidR="001E0374" w:rsidRPr="00C9241E" w:rsidRDefault="001E0374" w:rsidP="00C9241E">
      <w:pPr>
        <w:spacing w:after="0" w:line="480" w:lineRule="auto"/>
      </w:pPr>
    </w:p>
    <w:p w:rsidR="00C9241E" w:rsidRPr="00C9241E" w:rsidRDefault="00C9241E" w:rsidP="00C9241E">
      <w:pPr>
        <w:spacing w:after="0" w:line="480" w:lineRule="auto"/>
      </w:pPr>
      <w:r w:rsidRPr="00C9241E">
        <w:t>PM 4 - Family Engagement</w:t>
      </w:r>
    </w:p>
    <w:p w:rsidR="001E0374" w:rsidRDefault="00C9241E" w:rsidP="00C9241E">
      <w:pPr>
        <w:spacing w:after="0" w:line="480" w:lineRule="auto"/>
      </w:pPr>
      <w:r w:rsidRPr="00C9241E">
        <w:t>In year one, 20% of parents of regular attenders will participate in a counseling session, academic oriented student meetings, and/or culturally responsive activities with an increase of 5% of parents of regular attenders participating in each subsequent year of the grant (25% in year 2, 30% in year 3).</w:t>
      </w:r>
    </w:p>
    <w:p w:rsidR="00B311F1" w:rsidRPr="00B311F1" w:rsidRDefault="00B311F1" w:rsidP="00C9241E">
      <w:pPr>
        <w:spacing w:after="0" w:line="480" w:lineRule="auto"/>
        <w:rPr>
          <w:b/>
        </w:rPr>
      </w:pPr>
      <w:r w:rsidRPr="00B311F1">
        <w:rPr>
          <w:b/>
        </w:rPr>
        <w:lastRenderedPageBreak/>
        <w:t>Observations</w:t>
      </w:r>
      <w:r>
        <w:rPr>
          <w:b/>
        </w:rPr>
        <w:t xml:space="preserve"> - Kenton</w:t>
      </w:r>
    </w:p>
    <w:p w:rsidR="0082313B" w:rsidRDefault="00101D45" w:rsidP="00101D45">
      <w:pPr>
        <w:spacing w:after="0" w:line="480" w:lineRule="auto"/>
      </w:pPr>
      <w:r>
        <w:tab/>
        <w:t xml:space="preserve">Two independent researchers observed the Compass program in May of 2019 at both Kenton and Aurora Hills. The observation consisted of items related to Student Interactions, Staff Relationship Building, Instructional Strategies, and Activity Content &amp; Structure. </w:t>
      </w:r>
    </w:p>
    <w:p w:rsidR="001E0374" w:rsidRDefault="00101D45" w:rsidP="001E0374">
      <w:pPr>
        <w:spacing w:after="0" w:line="480" w:lineRule="auto"/>
        <w:ind w:firstLine="720"/>
      </w:pPr>
      <w:r>
        <w:t xml:space="preserve">At Kenton, nearly 50 students were present at the time of observation, and they were split in 8 smaller groups throughout the school, with either a Certified Teacher or Specialist interacting with each group. They were working on academics, building reading skills, sports, writing, and using technology. One strength of the program related to Staff Relationship Building – namely that positive behavior management techniques, equitability &amp; inclusiveness, positive affect toward students, attentive listening, and engagement with students were highly evident. </w:t>
      </w:r>
      <w:r w:rsidR="00F966B5">
        <w:t xml:space="preserve">Staff were respectful and genuinely interested in what students said and did – one activity centered on compassion and empathy. </w:t>
      </w:r>
      <w:r>
        <w:t xml:space="preserve">Activity Structure and Content was another strength: activities were well organized, challenged students, and involved </w:t>
      </w:r>
      <w:r w:rsidR="00504947">
        <w:t>practice or progression of skills. Within Activity Structure and Content, though, it was observed that the activities required little to no analytic thinking.</w:t>
      </w:r>
      <w:r w:rsidR="00E5787A">
        <w:t xml:space="preserve"> Few opportunities were observed for problem-solving. However, they were planned to engage students and were at the appropriate challenge levels. </w:t>
      </w:r>
      <w:r w:rsidR="00504947">
        <w:t>Student Interactions were rated relatively low, with students being given an opportunity to make meaningful choices not being observed</w:t>
      </w:r>
      <w:r w:rsidR="00F966B5">
        <w:t xml:space="preserve">, opportunities for collaboration and taking leadership roles being observed rarely, and students contributing opinions, ideas, and/or concerns moderately often. Students were engaged in the assigned activities, but few of the multiple, age- and need-based activities promoted leadership skills. Instructional Strategies was mixed: although teachers engaged often with the students, other constructive strategies were rarely evident. Academic activities were designed around the instructional needs of the students in each </w:t>
      </w:r>
      <w:r w:rsidR="00F966B5">
        <w:lastRenderedPageBreak/>
        <w:t xml:space="preserve">group. Standards-based practice of skills was also observed. The level of supervision, work space, and materials were all appropriate for the activities observed. In addition, the primary activity observed across all activities was skill-building with reading/writing/literacy. </w:t>
      </w:r>
    </w:p>
    <w:p w:rsidR="00B311F1" w:rsidRPr="00B311F1" w:rsidRDefault="00B311F1" w:rsidP="00B311F1">
      <w:pPr>
        <w:spacing w:after="0" w:line="480" w:lineRule="auto"/>
        <w:rPr>
          <w:b/>
        </w:rPr>
      </w:pPr>
      <w:r w:rsidRPr="00B311F1">
        <w:rPr>
          <w:b/>
        </w:rPr>
        <w:t>Observations – Aurora Hills</w:t>
      </w:r>
    </w:p>
    <w:p w:rsidR="001E0374" w:rsidRDefault="0082313B" w:rsidP="001E0374">
      <w:pPr>
        <w:spacing w:after="0" w:line="480" w:lineRule="auto"/>
        <w:ind w:firstLine="720"/>
      </w:pPr>
      <w:r>
        <w:t>At Aurora Hills, about 25 students were split into 5 groups, led by Certified Teachers. Students were participating in academic activities, dance, and sports – in classrooms and outside on school grounds. The program at Aurora Hills seemed to be more focused on engagement and capacity-building; thus, the observations related to Student Interactions, Staff Relationship Building, Instructional Strategies, and Activity Content &amp; Structure were not rated as high as that of Kenton. In general, Staff Relationship Building was the strongest domain observed, with staff showing positive affect toward and engaging with students</w:t>
      </w:r>
      <w:r w:rsidR="00111057">
        <w:t xml:space="preserve"> (observed as highly evident)</w:t>
      </w:r>
      <w:r>
        <w:t xml:space="preserve">. </w:t>
      </w:r>
      <w:r w:rsidR="00111057">
        <w:t xml:space="preserve">Staff were respectful towards students and took an interest in the students and their interests. </w:t>
      </w:r>
      <w:r>
        <w:t xml:space="preserve">Rubric items related to Student Interactions (i.e., collaboration, leadership, opportunities to contribute opinions, and make meaningful choices) were observed to be either rarely evident or not evident. </w:t>
      </w:r>
      <w:r w:rsidR="00111057">
        <w:t xml:space="preserve">The level of student engagement was dependent on the activity – students were compliant and followed directions. Activity Content and Structure rubric items (i.e., well-organized, challenging for students, requiring analytical thinking, and involving practice/progression of skills) were also rarely or not evident. Activities were planned appropriately towards the needs and interests of students, but few extended to problem-solving opportunities. Finally, constructivist Instructional Strategies were mostly observed as not evident – although teachers employing scaffolding techniques was observed to be highly evident within this domain. The design of the groups were not conducive to encourage enhanced and deeper levels of knowledge. Academic activities were mostly skill-building, and they were club-based, related to the interests </w:t>
      </w:r>
      <w:r w:rsidR="00111057">
        <w:lastRenderedPageBreak/>
        <w:t xml:space="preserve">of the students. The level of supervision, </w:t>
      </w:r>
      <w:r w:rsidR="001E0374">
        <w:t>workspace</w:t>
      </w:r>
      <w:r w:rsidR="00111057">
        <w:t>, and materials were all appropriate for the activities observed.</w:t>
      </w:r>
    </w:p>
    <w:p w:rsidR="00E4533B" w:rsidRPr="00780987" w:rsidRDefault="00E4533B" w:rsidP="00E4533B">
      <w:pPr>
        <w:spacing w:after="0" w:line="480" w:lineRule="auto"/>
        <w:rPr>
          <w:b/>
        </w:rPr>
      </w:pPr>
      <w:r w:rsidRPr="00780987">
        <w:rPr>
          <w:b/>
        </w:rPr>
        <w:t>Student Profiles</w:t>
      </w:r>
    </w:p>
    <w:p w:rsidR="00E4533B" w:rsidRDefault="00E4533B" w:rsidP="00E4533B">
      <w:pPr>
        <w:spacing w:after="0" w:line="480" w:lineRule="auto"/>
        <w:ind w:firstLine="720"/>
      </w:pPr>
      <w:r>
        <w:t>A total of 90 students (17.51% of the total number of students enrolled) from Kenton Elementary School, and 135 students (16.50%) from Aurora Hills Middle School participated in Compass programming in the 2018-19 school year. Of the students who participated in Compass, 54% (</w:t>
      </w:r>
      <w:r>
        <w:rPr>
          <w:i/>
        </w:rPr>
        <w:t>n</w:t>
      </w:r>
      <w:r>
        <w:t xml:space="preserve"> = 49) at Kenton and 12% (</w:t>
      </w:r>
      <w:r>
        <w:rPr>
          <w:i/>
        </w:rPr>
        <w:t>n</w:t>
      </w:r>
      <w:r>
        <w:t xml:space="preserve"> = 16) at Aurora Hills </w:t>
      </w:r>
      <w:r w:rsidRPr="006E4A86">
        <w:rPr>
          <w:i/>
        </w:rPr>
        <w:t>regularly</w:t>
      </w:r>
      <w:r>
        <w:t xml:space="preserve"> participated in the programming offered.</w:t>
      </w:r>
    </w:p>
    <w:p w:rsidR="00E4533B" w:rsidRDefault="00E4533B" w:rsidP="00E4533B">
      <w:pPr>
        <w:spacing w:after="0" w:line="480" w:lineRule="auto"/>
        <w:ind w:firstLine="720"/>
      </w:pPr>
      <w:r>
        <w:t>Further breakdown of the percentage of students by disaggregated demographic groups is provided in Table 1. In the table, the total number of students within each disaggregated group (i.e., Gender, ELL Status, Race / Ethnicity, and IEP Status) is provided, along with the percentage of students within that group comparison. In effect, each separate grouping will add to 100% -- for example, at Kenton, the percent of male (56%) and female students (44%) involved in Compass add to 100%. The percentages of students in each group can then be compared for each school (i.e., Compass vs. Not Compass) to assess if there are different proportions of students attending the programming.</w:t>
      </w:r>
    </w:p>
    <w:p w:rsidR="001804DA" w:rsidRDefault="001804DA" w:rsidP="001804DA">
      <w:pPr>
        <w:spacing w:after="0" w:line="480" w:lineRule="auto"/>
      </w:pPr>
      <w:r>
        <w:tab/>
        <w:t xml:space="preserve">In terms of gender and IEP status, there was little difference between Compass and Non-Compass students for each school. However, there were differences in the percentage of students within ELL status and Race / Ethnicity groups. For Kenton, and not unexpectedly, more students who were NEP / LEP attended Compass programming. For Aurora Hills, though, a greater percentage of students classified as Not ELL were involved in Compass. Concurrently, less Hispanic students and more White students participated in Compass at Aurora Hills. </w:t>
      </w:r>
    </w:p>
    <w:p w:rsidR="00780987" w:rsidRDefault="00780987" w:rsidP="00B311F1">
      <w:pPr>
        <w:spacing w:after="0" w:line="480" w:lineRule="auto"/>
      </w:pPr>
    </w:p>
    <w:tbl>
      <w:tblPr>
        <w:tblStyle w:val="TableGrid"/>
        <w:tblW w:w="0" w:type="auto"/>
        <w:tblLook w:val="04A0" w:firstRow="1" w:lastRow="0" w:firstColumn="1" w:lastColumn="0" w:noHBand="0" w:noVBand="1"/>
      </w:tblPr>
      <w:tblGrid>
        <w:gridCol w:w="450"/>
        <w:gridCol w:w="2790"/>
        <w:gridCol w:w="1527"/>
        <w:gridCol w:w="1528"/>
        <w:gridCol w:w="1527"/>
        <w:gridCol w:w="1528"/>
      </w:tblGrid>
      <w:tr w:rsidR="0035680C" w:rsidTr="0080269E">
        <w:tc>
          <w:tcPr>
            <w:tcW w:w="9350" w:type="dxa"/>
            <w:gridSpan w:val="6"/>
            <w:tcBorders>
              <w:top w:val="nil"/>
              <w:left w:val="nil"/>
              <w:bottom w:val="single" w:sz="4" w:space="0" w:color="auto"/>
              <w:right w:val="nil"/>
            </w:tcBorders>
          </w:tcPr>
          <w:p w:rsidR="0035680C" w:rsidRPr="0035680C" w:rsidRDefault="0035680C" w:rsidP="001804DA">
            <w:pPr>
              <w:spacing w:line="360" w:lineRule="auto"/>
              <w:rPr>
                <w:i/>
              </w:rPr>
            </w:pPr>
            <w:r>
              <w:lastRenderedPageBreak/>
              <w:t xml:space="preserve">Table 1. </w:t>
            </w:r>
            <w:r>
              <w:rPr>
                <w:i/>
              </w:rPr>
              <w:t>Compass Enrollment, Disaggregated</w:t>
            </w:r>
            <w:r w:rsidR="00497E2B">
              <w:rPr>
                <w:i/>
              </w:rPr>
              <w:t xml:space="preserve"> Groups.</w:t>
            </w:r>
          </w:p>
        </w:tc>
      </w:tr>
      <w:tr w:rsidR="0035680C" w:rsidTr="00A973BF">
        <w:trPr>
          <w:trHeight w:val="440"/>
        </w:trPr>
        <w:tc>
          <w:tcPr>
            <w:tcW w:w="450" w:type="dxa"/>
            <w:tcBorders>
              <w:top w:val="single" w:sz="4" w:space="0" w:color="auto"/>
              <w:left w:val="nil"/>
              <w:bottom w:val="nil"/>
              <w:right w:val="nil"/>
            </w:tcBorders>
          </w:tcPr>
          <w:p w:rsidR="0035680C" w:rsidRDefault="0035680C" w:rsidP="001804DA">
            <w:pPr>
              <w:spacing w:line="360" w:lineRule="auto"/>
            </w:pPr>
          </w:p>
        </w:tc>
        <w:tc>
          <w:tcPr>
            <w:tcW w:w="2790" w:type="dxa"/>
            <w:tcBorders>
              <w:top w:val="single" w:sz="4" w:space="0" w:color="auto"/>
              <w:left w:val="nil"/>
              <w:bottom w:val="nil"/>
              <w:right w:val="nil"/>
            </w:tcBorders>
          </w:tcPr>
          <w:p w:rsidR="0035680C" w:rsidRDefault="0035680C" w:rsidP="001804DA">
            <w:pPr>
              <w:spacing w:line="360" w:lineRule="auto"/>
            </w:pPr>
          </w:p>
        </w:tc>
        <w:tc>
          <w:tcPr>
            <w:tcW w:w="3055" w:type="dxa"/>
            <w:gridSpan w:val="2"/>
            <w:tcBorders>
              <w:top w:val="single" w:sz="4" w:space="0" w:color="auto"/>
              <w:left w:val="nil"/>
              <w:bottom w:val="nil"/>
              <w:right w:val="nil"/>
            </w:tcBorders>
            <w:vAlign w:val="center"/>
          </w:tcPr>
          <w:p w:rsidR="0035680C" w:rsidRPr="0080269E" w:rsidRDefault="0035680C" w:rsidP="001804DA">
            <w:pPr>
              <w:spacing w:line="360" w:lineRule="auto"/>
              <w:jc w:val="center"/>
              <w:rPr>
                <w:u w:val="single"/>
              </w:rPr>
            </w:pPr>
            <w:r w:rsidRPr="0080269E">
              <w:rPr>
                <w:u w:val="single"/>
              </w:rPr>
              <w:t>Kenton Elementary</w:t>
            </w:r>
          </w:p>
        </w:tc>
        <w:tc>
          <w:tcPr>
            <w:tcW w:w="3055" w:type="dxa"/>
            <w:gridSpan w:val="2"/>
            <w:tcBorders>
              <w:top w:val="single" w:sz="4" w:space="0" w:color="auto"/>
              <w:left w:val="nil"/>
              <w:bottom w:val="nil"/>
              <w:right w:val="nil"/>
            </w:tcBorders>
            <w:vAlign w:val="center"/>
          </w:tcPr>
          <w:p w:rsidR="0035680C" w:rsidRPr="0080269E" w:rsidRDefault="0035680C" w:rsidP="001804DA">
            <w:pPr>
              <w:spacing w:line="360" w:lineRule="auto"/>
              <w:jc w:val="center"/>
              <w:rPr>
                <w:u w:val="single"/>
              </w:rPr>
            </w:pPr>
            <w:r w:rsidRPr="0080269E">
              <w:rPr>
                <w:u w:val="single"/>
              </w:rPr>
              <w:t>Aurora Hills</w:t>
            </w:r>
          </w:p>
        </w:tc>
      </w:tr>
      <w:tr w:rsidR="0035680C" w:rsidTr="00A973BF">
        <w:trPr>
          <w:trHeight w:val="693"/>
        </w:trPr>
        <w:tc>
          <w:tcPr>
            <w:tcW w:w="450" w:type="dxa"/>
            <w:tcBorders>
              <w:top w:val="nil"/>
              <w:left w:val="nil"/>
              <w:bottom w:val="single" w:sz="4" w:space="0" w:color="auto"/>
              <w:right w:val="nil"/>
            </w:tcBorders>
          </w:tcPr>
          <w:p w:rsidR="0035680C" w:rsidRDefault="0035680C" w:rsidP="001804DA">
            <w:pPr>
              <w:spacing w:line="360" w:lineRule="auto"/>
            </w:pPr>
          </w:p>
        </w:tc>
        <w:tc>
          <w:tcPr>
            <w:tcW w:w="2790" w:type="dxa"/>
            <w:tcBorders>
              <w:top w:val="nil"/>
              <w:left w:val="nil"/>
              <w:bottom w:val="single" w:sz="4" w:space="0" w:color="auto"/>
              <w:right w:val="nil"/>
            </w:tcBorders>
          </w:tcPr>
          <w:p w:rsidR="0035680C" w:rsidRDefault="0035680C" w:rsidP="001804DA">
            <w:pPr>
              <w:spacing w:line="360" w:lineRule="auto"/>
            </w:pPr>
          </w:p>
        </w:tc>
        <w:tc>
          <w:tcPr>
            <w:tcW w:w="1527" w:type="dxa"/>
            <w:tcBorders>
              <w:top w:val="nil"/>
              <w:left w:val="nil"/>
              <w:bottom w:val="single" w:sz="4" w:space="0" w:color="auto"/>
              <w:right w:val="nil"/>
            </w:tcBorders>
            <w:vAlign w:val="center"/>
          </w:tcPr>
          <w:p w:rsidR="0035680C" w:rsidRDefault="0035680C" w:rsidP="001804DA">
            <w:pPr>
              <w:spacing w:line="360" w:lineRule="auto"/>
              <w:jc w:val="center"/>
            </w:pPr>
            <w:r>
              <w:t>Compass</w:t>
            </w:r>
          </w:p>
          <w:p w:rsidR="00497E2B" w:rsidRPr="00497E2B" w:rsidRDefault="00497E2B" w:rsidP="001804DA">
            <w:pPr>
              <w:spacing w:line="360" w:lineRule="auto"/>
              <w:jc w:val="center"/>
            </w:pPr>
            <w:r>
              <w:rPr>
                <w:i/>
              </w:rPr>
              <w:t>n</w:t>
            </w:r>
            <w:r>
              <w:t xml:space="preserve"> (Pct.)</w:t>
            </w:r>
          </w:p>
        </w:tc>
        <w:tc>
          <w:tcPr>
            <w:tcW w:w="1528" w:type="dxa"/>
            <w:tcBorders>
              <w:top w:val="nil"/>
              <w:left w:val="nil"/>
              <w:bottom w:val="single" w:sz="4" w:space="0" w:color="auto"/>
              <w:right w:val="nil"/>
            </w:tcBorders>
            <w:vAlign w:val="center"/>
          </w:tcPr>
          <w:p w:rsidR="00497E2B" w:rsidRDefault="0035680C" w:rsidP="001804DA">
            <w:pPr>
              <w:spacing w:line="360" w:lineRule="auto"/>
              <w:jc w:val="center"/>
            </w:pPr>
            <w:r>
              <w:t>Not Compass</w:t>
            </w:r>
            <w:r w:rsidR="00497E2B">
              <w:t xml:space="preserve"> </w:t>
            </w:r>
          </w:p>
          <w:p w:rsidR="0035680C" w:rsidRDefault="00497E2B" w:rsidP="001804DA">
            <w:pPr>
              <w:spacing w:line="360" w:lineRule="auto"/>
              <w:jc w:val="center"/>
            </w:pPr>
            <w:r>
              <w:rPr>
                <w:i/>
              </w:rPr>
              <w:t>n</w:t>
            </w:r>
            <w:r>
              <w:t xml:space="preserve"> (Pct.)</w:t>
            </w:r>
          </w:p>
        </w:tc>
        <w:tc>
          <w:tcPr>
            <w:tcW w:w="1527" w:type="dxa"/>
            <w:tcBorders>
              <w:top w:val="nil"/>
              <w:left w:val="nil"/>
              <w:bottom w:val="single" w:sz="4" w:space="0" w:color="auto"/>
              <w:right w:val="nil"/>
            </w:tcBorders>
            <w:vAlign w:val="center"/>
          </w:tcPr>
          <w:p w:rsidR="00497E2B" w:rsidRDefault="0035680C" w:rsidP="001804DA">
            <w:pPr>
              <w:spacing w:line="360" w:lineRule="auto"/>
              <w:jc w:val="center"/>
            </w:pPr>
            <w:r>
              <w:t>Compass</w:t>
            </w:r>
            <w:r w:rsidR="00497E2B">
              <w:t xml:space="preserve"> </w:t>
            </w:r>
          </w:p>
          <w:p w:rsidR="0035680C" w:rsidRDefault="00497E2B" w:rsidP="001804DA">
            <w:pPr>
              <w:spacing w:line="360" w:lineRule="auto"/>
              <w:jc w:val="center"/>
            </w:pPr>
            <w:r>
              <w:rPr>
                <w:i/>
              </w:rPr>
              <w:t>n</w:t>
            </w:r>
            <w:r>
              <w:t xml:space="preserve"> (Pct.)</w:t>
            </w:r>
          </w:p>
        </w:tc>
        <w:tc>
          <w:tcPr>
            <w:tcW w:w="1528" w:type="dxa"/>
            <w:tcBorders>
              <w:top w:val="nil"/>
              <w:left w:val="nil"/>
              <w:bottom w:val="single" w:sz="4" w:space="0" w:color="auto"/>
              <w:right w:val="nil"/>
            </w:tcBorders>
            <w:vAlign w:val="center"/>
          </w:tcPr>
          <w:p w:rsidR="00497E2B" w:rsidRDefault="0035680C" w:rsidP="001804DA">
            <w:pPr>
              <w:spacing w:line="360" w:lineRule="auto"/>
              <w:jc w:val="center"/>
            </w:pPr>
            <w:r>
              <w:t>Not Compass</w:t>
            </w:r>
            <w:r w:rsidR="00497E2B">
              <w:t xml:space="preserve"> </w:t>
            </w:r>
          </w:p>
          <w:p w:rsidR="0035680C" w:rsidRDefault="00497E2B" w:rsidP="001804DA">
            <w:pPr>
              <w:spacing w:line="360" w:lineRule="auto"/>
              <w:jc w:val="center"/>
            </w:pPr>
            <w:r>
              <w:rPr>
                <w:i/>
              </w:rPr>
              <w:t>n</w:t>
            </w:r>
            <w:r>
              <w:t xml:space="preserve"> (Pct.)</w:t>
            </w:r>
          </w:p>
        </w:tc>
      </w:tr>
      <w:tr w:rsidR="0035680C" w:rsidTr="00B012D0">
        <w:tc>
          <w:tcPr>
            <w:tcW w:w="3240" w:type="dxa"/>
            <w:gridSpan w:val="2"/>
            <w:tcBorders>
              <w:top w:val="single" w:sz="4" w:space="0" w:color="auto"/>
              <w:left w:val="nil"/>
              <w:bottom w:val="nil"/>
              <w:right w:val="nil"/>
            </w:tcBorders>
          </w:tcPr>
          <w:p w:rsidR="0035680C" w:rsidRDefault="0035680C" w:rsidP="001804DA">
            <w:pPr>
              <w:spacing w:line="360" w:lineRule="auto"/>
            </w:pPr>
            <w:r>
              <w:t>Gender</w:t>
            </w:r>
          </w:p>
        </w:tc>
        <w:tc>
          <w:tcPr>
            <w:tcW w:w="1527" w:type="dxa"/>
            <w:tcBorders>
              <w:top w:val="single" w:sz="4" w:space="0" w:color="auto"/>
              <w:left w:val="nil"/>
              <w:bottom w:val="nil"/>
              <w:right w:val="nil"/>
            </w:tcBorders>
            <w:vAlign w:val="center"/>
          </w:tcPr>
          <w:p w:rsidR="0035680C" w:rsidRDefault="0035680C" w:rsidP="001804DA">
            <w:pPr>
              <w:spacing w:line="360" w:lineRule="auto"/>
              <w:jc w:val="center"/>
            </w:pPr>
          </w:p>
        </w:tc>
        <w:tc>
          <w:tcPr>
            <w:tcW w:w="1528" w:type="dxa"/>
            <w:tcBorders>
              <w:top w:val="single" w:sz="4" w:space="0" w:color="auto"/>
              <w:left w:val="nil"/>
              <w:bottom w:val="nil"/>
              <w:right w:val="nil"/>
            </w:tcBorders>
            <w:vAlign w:val="center"/>
          </w:tcPr>
          <w:p w:rsidR="0035680C" w:rsidRDefault="0035680C" w:rsidP="001804DA">
            <w:pPr>
              <w:spacing w:line="360" w:lineRule="auto"/>
              <w:jc w:val="center"/>
            </w:pPr>
          </w:p>
        </w:tc>
        <w:tc>
          <w:tcPr>
            <w:tcW w:w="1527" w:type="dxa"/>
            <w:tcBorders>
              <w:top w:val="single" w:sz="4" w:space="0" w:color="auto"/>
              <w:left w:val="nil"/>
              <w:bottom w:val="nil"/>
              <w:right w:val="nil"/>
            </w:tcBorders>
            <w:vAlign w:val="center"/>
          </w:tcPr>
          <w:p w:rsidR="0035680C" w:rsidRDefault="0035680C" w:rsidP="001804DA">
            <w:pPr>
              <w:spacing w:line="360" w:lineRule="auto"/>
              <w:jc w:val="center"/>
            </w:pPr>
          </w:p>
        </w:tc>
        <w:tc>
          <w:tcPr>
            <w:tcW w:w="1528" w:type="dxa"/>
            <w:tcBorders>
              <w:top w:val="single" w:sz="4" w:space="0" w:color="auto"/>
              <w:left w:val="nil"/>
              <w:bottom w:val="nil"/>
              <w:right w:val="nil"/>
            </w:tcBorders>
            <w:vAlign w:val="center"/>
          </w:tcPr>
          <w:p w:rsidR="0035680C" w:rsidRDefault="0035680C" w:rsidP="001804DA">
            <w:pPr>
              <w:spacing w:line="360" w:lineRule="auto"/>
              <w:jc w:val="center"/>
            </w:pPr>
          </w:p>
        </w:tc>
      </w:tr>
      <w:tr w:rsidR="0035680C" w:rsidTr="00B012D0">
        <w:tc>
          <w:tcPr>
            <w:tcW w:w="450" w:type="dxa"/>
            <w:tcBorders>
              <w:top w:val="nil"/>
              <w:left w:val="nil"/>
              <w:bottom w:val="nil"/>
              <w:right w:val="nil"/>
            </w:tcBorders>
          </w:tcPr>
          <w:p w:rsidR="0035680C" w:rsidRDefault="0035680C" w:rsidP="001804DA">
            <w:pPr>
              <w:spacing w:line="360" w:lineRule="auto"/>
            </w:pPr>
          </w:p>
        </w:tc>
        <w:tc>
          <w:tcPr>
            <w:tcW w:w="2790" w:type="dxa"/>
            <w:tcBorders>
              <w:top w:val="nil"/>
              <w:left w:val="nil"/>
              <w:bottom w:val="nil"/>
              <w:right w:val="nil"/>
            </w:tcBorders>
          </w:tcPr>
          <w:p w:rsidR="0035680C" w:rsidRDefault="0035680C" w:rsidP="001804DA">
            <w:pPr>
              <w:spacing w:line="360" w:lineRule="auto"/>
            </w:pPr>
            <w:r>
              <w:t>Male</w:t>
            </w:r>
          </w:p>
        </w:tc>
        <w:tc>
          <w:tcPr>
            <w:tcW w:w="1527" w:type="dxa"/>
            <w:tcBorders>
              <w:top w:val="nil"/>
              <w:left w:val="nil"/>
              <w:bottom w:val="nil"/>
              <w:right w:val="nil"/>
            </w:tcBorders>
            <w:vAlign w:val="center"/>
          </w:tcPr>
          <w:p w:rsidR="0035680C" w:rsidRDefault="0035680C" w:rsidP="001804DA">
            <w:pPr>
              <w:spacing w:line="360" w:lineRule="auto"/>
              <w:jc w:val="center"/>
            </w:pPr>
            <w:r>
              <w:t>40 (44%)</w:t>
            </w:r>
          </w:p>
        </w:tc>
        <w:tc>
          <w:tcPr>
            <w:tcW w:w="1528" w:type="dxa"/>
            <w:tcBorders>
              <w:top w:val="nil"/>
              <w:left w:val="nil"/>
              <w:bottom w:val="nil"/>
              <w:right w:val="nil"/>
            </w:tcBorders>
            <w:vAlign w:val="center"/>
          </w:tcPr>
          <w:p w:rsidR="0035680C" w:rsidRDefault="0035680C" w:rsidP="001804DA">
            <w:pPr>
              <w:spacing w:line="360" w:lineRule="auto"/>
              <w:jc w:val="center"/>
            </w:pPr>
            <w:r>
              <w:t>189 (45%)</w:t>
            </w:r>
          </w:p>
        </w:tc>
        <w:tc>
          <w:tcPr>
            <w:tcW w:w="1527" w:type="dxa"/>
            <w:tcBorders>
              <w:top w:val="nil"/>
              <w:left w:val="nil"/>
              <w:bottom w:val="nil"/>
              <w:right w:val="nil"/>
            </w:tcBorders>
            <w:vAlign w:val="center"/>
          </w:tcPr>
          <w:p w:rsidR="0035680C" w:rsidRDefault="0035680C" w:rsidP="001804DA">
            <w:pPr>
              <w:spacing w:line="360" w:lineRule="auto"/>
              <w:jc w:val="center"/>
            </w:pPr>
            <w:r>
              <w:t>65 (48%)</w:t>
            </w:r>
          </w:p>
        </w:tc>
        <w:tc>
          <w:tcPr>
            <w:tcW w:w="1528" w:type="dxa"/>
            <w:tcBorders>
              <w:top w:val="nil"/>
              <w:left w:val="nil"/>
              <w:bottom w:val="nil"/>
              <w:right w:val="nil"/>
            </w:tcBorders>
            <w:vAlign w:val="center"/>
          </w:tcPr>
          <w:p w:rsidR="0035680C" w:rsidRDefault="0035680C" w:rsidP="001804DA">
            <w:pPr>
              <w:spacing w:line="360" w:lineRule="auto"/>
              <w:jc w:val="center"/>
            </w:pPr>
            <w:r>
              <w:t>314 (46%)</w:t>
            </w:r>
          </w:p>
        </w:tc>
      </w:tr>
      <w:tr w:rsidR="0035680C" w:rsidTr="00B012D0">
        <w:tc>
          <w:tcPr>
            <w:tcW w:w="450" w:type="dxa"/>
            <w:tcBorders>
              <w:top w:val="nil"/>
              <w:left w:val="nil"/>
              <w:bottom w:val="nil"/>
              <w:right w:val="nil"/>
            </w:tcBorders>
          </w:tcPr>
          <w:p w:rsidR="0035680C" w:rsidRDefault="0035680C" w:rsidP="001804DA">
            <w:pPr>
              <w:spacing w:line="360" w:lineRule="auto"/>
            </w:pPr>
          </w:p>
        </w:tc>
        <w:tc>
          <w:tcPr>
            <w:tcW w:w="2790" w:type="dxa"/>
            <w:tcBorders>
              <w:top w:val="nil"/>
              <w:left w:val="nil"/>
              <w:bottom w:val="nil"/>
              <w:right w:val="nil"/>
            </w:tcBorders>
          </w:tcPr>
          <w:p w:rsidR="0035680C" w:rsidRDefault="0035680C" w:rsidP="001804DA">
            <w:pPr>
              <w:spacing w:line="360" w:lineRule="auto"/>
            </w:pPr>
            <w:r>
              <w:t>Female</w:t>
            </w:r>
          </w:p>
        </w:tc>
        <w:tc>
          <w:tcPr>
            <w:tcW w:w="1527" w:type="dxa"/>
            <w:tcBorders>
              <w:top w:val="nil"/>
              <w:left w:val="nil"/>
              <w:bottom w:val="nil"/>
              <w:right w:val="nil"/>
            </w:tcBorders>
            <w:vAlign w:val="center"/>
          </w:tcPr>
          <w:p w:rsidR="0035680C" w:rsidRDefault="0035680C" w:rsidP="001804DA">
            <w:pPr>
              <w:spacing w:line="360" w:lineRule="auto"/>
              <w:jc w:val="center"/>
            </w:pPr>
            <w:r>
              <w:t>50 (56%)</w:t>
            </w:r>
          </w:p>
        </w:tc>
        <w:tc>
          <w:tcPr>
            <w:tcW w:w="1528" w:type="dxa"/>
            <w:tcBorders>
              <w:top w:val="nil"/>
              <w:left w:val="nil"/>
              <w:bottom w:val="nil"/>
              <w:right w:val="nil"/>
            </w:tcBorders>
            <w:vAlign w:val="center"/>
          </w:tcPr>
          <w:p w:rsidR="0035680C" w:rsidRDefault="0035680C" w:rsidP="001804DA">
            <w:pPr>
              <w:spacing w:line="360" w:lineRule="auto"/>
              <w:jc w:val="center"/>
            </w:pPr>
            <w:r>
              <w:t>235 (55%)</w:t>
            </w:r>
          </w:p>
        </w:tc>
        <w:tc>
          <w:tcPr>
            <w:tcW w:w="1527" w:type="dxa"/>
            <w:tcBorders>
              <w:top w:val="nil"/>
              <w:left w:val="nil"/>
              <w:bottom w:val="nil"/>
              <w:right w:val="nil"/>
            </w:tcBorders>
            <w:vAlign w:val="center"/>
          </w:tcPr>
          <w:p w:rsidR="0035680C" w:rsidRDefault="0035680C" w:rsidP="001804DA">
            <w:pPr>
              <w:spacing w:line="360" w:lineRule="auto"/>
              <w:jc w:val="center"/>
            </w:pPr>
            <w:r>
              <w:t>70 (52%)</w:t>
            </w:r>
          </w:p>
        </w:tc>
        <w:tc>
          <w:tcPr>
            <w:tcW w:w="1528" w:type="dxa"/>
            <w:tcBorders>
              <w:top w:val="nil"/>
              <w:left w:val="nil"/>
              <w:bottom w:val="nil"/>
              <w:right w:val="nil"/>
            </w:tcBorders>
            <w:vAlign w:val="center"/>
          </w:tcPr>
          <w:p w:rsidR="0035680C" w:rsidRDefault="0035680C" w:rsidP="001804DA">
            <w:pPr>
              <w:spacing w:line="360" w:lineRule="auto"/>
              <w:jc w:val="center"/>
            </w:pPr>
            <w:r>
              <w:t xml:space="preserve">369 (54%) </w:t>
            </w:r>
          </w:p>
        </w:tc>
      </w:tr>
      <w:tr w:rsidR="0035680C" w:rsidTr="00B012D0">
        <w:tc>
          <w:tcPr>
            <w:tcW w:w="3240" w:type="dxa"/>
            <w:gridSpan w:val="2"/>
            <w:tcBorders>
              <w:top w:val="nil"/>
              <w:left w:val="nil"/>
              <w:bottom w:val="nil"/>
              <w:right w:val="nil"/>
            </w:tcBorders>
          </w:tcPr>
          <w:p w:rsidR="0035680C" w:rsidRDefault="0035680C" w:rsidP="001804DA">
            <w:pPr>
              <w:spacing w:line="360" w:lineRule="auto"/>
            </w:pPr>
            <w:r>
              <w:t>ELL Status</w:t>
            </w:r>
          </w:p>
        </w:tc>
        <w:tc>
          <w:tcPr>
            <w:tcW w:w="1527" w:type="dxa"/>
            <w:tcBorders>
              <w:top w:val="nil"/>
              <w:left w:val="nil"/>
              <w:bottom w:val="nil"/>
              <w:right w:val="nil"/>
            </w:tcBorders>
            <w:vAlign w:val="center"/>
          </w:tcPr>
          <w:p w:rsidR="0035680C" w:rsidRDefault="0035680C" w:rsidP="001804DA">
            <w:pPr>
              <w:spacing w:line="360" w:lineRule="auto"/>
              <w:jc w:val="center"/>
            </w:pPr>
          </w:p>
        </w:tc>
        <w:tc>
          <w:tcPr>
            <w:tcW w:w="1528" w:type="dxa"/>
            <w:tcBorders>
              <w:top w:val="nil"/>
              <w:left w:val="nil"/>
              <w:bottom w:val="nil"/>
              <w:right w:val="nil"/>
            </w:tcBorders>
            <w:vAlign w:val="center"/>
          </w:tcPr>
          <w:p w:rsidR="0035680C" w:rsidRDefault="0035680C" w:rsidP="001804DA">
            <w:pPr>
              <w:spacing w:line="360" w:lineRule="auto"/>
              <w:jc w:val="center"/>
            </w:pPr>
          </w:p>
        </w:tc>
        <w:tc>
          <w:tcPr>
            <w:tcW w:w="1527" w:type="dxa"/>
            <w:tcBorders>
              <w:top w:val="nil"/>
              <w:left w:val="nil"/>
              <w:bottom w:val="nil"/>
              <w:right w:val="nil"/>
            </w:tcBorders>
            <w:vAlign w:val="center"/>
          </w:tcPr>
          <w:p w:rsidR="0035680C" w:rsidRDefault="0035680C" w:rsidP="001804DA">
            <w:pPr>
              <w:spacing w:line="360" w:lineRule="auto"/>
              <w:jc w:val="center"/>
            </w:pPr>
          </w:p>
        </w:tc>
        <w:tc>
          <w:tcPr>
            <w:tcW w:w="1528" w:type="dxa"/>
            <w:tcBorders>
              <w:top w:val="nil"/>
              <w:left w:val="nil"/>
              <w:bottom w:val="nil"/>
              <w:right w:val="nil"/>
            </w:tcBorders>
            <w:vAlign w:val="center"/>
          </w:tcPr>
          <w:p w:rsidR="0035680C" w:rsidRDefault="0035680C" w:rsidP="001804DA">
            <w:pPr>
              <w:spacing w:line="360" w:lineRule="auto"/>
              <w:jc w:val="center"/>
            </w:pPr>
          </w:p>
        </w:tc>
      </w:tr>
      <w:tr w:rsidR="00366322" w:rsidTr="00B012D0">
        <w:tc>
          <w:tcPr>
            <w:tcW w:w="450" w:type="dxa"/>
            <w:tcBorders>
              <w:top w:val="nil"/>
              <w:left w:val="nil"/>
              <w:bottom w:val="nil"/>
              <w:right w:val="nil"/>
            </w:tcBorders>
          </w:tcPr>
          <w:p w:rsidR="00366322" w:rsidRDefault="00366322" w:rsidP="001804DA">
            <w:pPr>
              <w:spacing w:line="360" w:lineRule="auto"/>
            </w:pPr>
          </w:p>
        </w:tc>
        <w:tc>
          <w:tcPr>
            <w:tcW w:w="2790" w:type="dxa"/>
            <w:tcBorders>
              <w:top w:val="nil"/>
              <w:left w:val="nil"/>
              <w:bottom w:val="nil"/>
              <w:right w:val="nil"/>
            </w:tcBorders>
          </w:tcPr>
          <w:p w:rsidR="00366322" w:rsidRDefault="00366322" w:rsidP="001804DA">
            <w:pPr>
              <w:spacing w:line="360" w:lineRule="auto"/>
            </w:pPr>
            <w:r>
              <w:t>NEP / LEP</w:t>
            </w:r>
          </w:p>
        </w:tc>
        <w:tc>
          <w:tcPr>
            <w:tcW w:w="1527" w:type="dxa"/>
            <w:tcBorders>
              <w:top w:val="nil"/>
              <w:left w:val="nil"/>
              <w:bottom w:val="nil"/>
              <w:right w:val="nil"/>
            </w:tcBorders>
            <w:vAlign w:val="center"/>
          </w:tcPr>
          <w:p w:rsidR="00366322" w:rsidRDefault="00366322" w:rsidP="001804DA">
            <w:pPr>
              <w:spacing w:line="360" w:lineRule="auto"/>
              <w:jc w:val="center"/>
            </w:pPr>
            <w:r>
              <w:t>67 (74%)</w:t>
            </w:r>
          </w:p>
        </w:tc>
        <w:tc>
          <w:tcPr>
            <w:tcW w:w="1528" w:type="dxa"/>
            <w:tcBorders>
              <w:top w:val="nil"/>
              <w:left w:val="nil"/>
              <w:bottom w:val="nil"/>
              <w:right w:val="nil"/>
            </w:tcBorders>
            <w:vAlign w:val="center"/>
          </w:tcPr>
          <w:p w:rsidR="00366322" w:rsidRDefault="00366322" w:rsidP="001804DA">
            <w:pPr>
              <w:spacing w:line="360" w:lineRule="auto"/>
              <w:jc w:val="center"/>
            </w:pPr>
            <w:r>
              <w:t>261</w:t>
            </w:r>
            <w:r w:rsidR="0080269E">
              <w:t xml:space="preserve"> (62%)</w:t>
            </w:r>
          </w:p>
        </w:tc>
        <w:tc>
          <w:tcPr>
            <w:tcW w:w="1527" w:type="dxa"/>
            <w:tcBorders>
              <w:top w:val="nil"/>
              <w:left w:val="nil"/>
              <w:bottom w:val="nil"/>
              <w:right w:val="nil"/>
            </w:tcBorders>
            <w:vAlign w:val="center"/>
          </w:tcPr>
          <w:p w:rsidR="00366322" w:rsidRDefault="00366322" w:rsidP="001804DA">
            <w:pPr>
              <w:spacing w:line="360" w:lineRule="auto"/>
              <w:jc w:val="center"/>
            </w:pPr>
            <w:r>
              <w:t>39</w:t>
            </w:r>
            <w:r w:rsidR="0080269E">
              <w:t xml:space="preserve"> (29%)</w:t>
            </w:r>
          </w:p>
        </w:tc>
        <w:tc>
          <w:tcPr>
            <w:tcW w:w="1528" w:type="dxa"/>
            <w:tcBorders>
              <w:top w:val="nil"/>
              <w:left w:val="nil"/>
              <w:bottom w:val="nil"/>
              <w:right w:val="nil"/>
            </w:tcBorders>
            <w:vAlign w:val="center"/>
          </w:tcPr>
          <w:p w:rsidR="00366322" w:rsidRDefault="00366322" w:rsidP="001804DA">
            <w:pPr>
              <w:spacing w:line="360" w:lineRule="auto"/>
              <w:jc w:val="center"/>
            </w:pPr>
            <w:r>
              <w:t>202</w:t>
            </w:r>
            <w:r w:rsidR="0080269E">
              <w:t xml:space="preserve"> (30%)</w:t>
            </w:r>
          </w:p>
        </w:tc>
      </w:tr>
      <w:tr w:rsidR="00366322" w:rsidTr="00B012D0">
        <w:tc>
          <w:tcPr>
            <w:tcW w:w="450" w:type="dxa"/>
            <w:tcBorders>
              <w:top w:val="nil"/>
              <w:left w:val="nil"/>
              <w:bottom w:val="nil"/>
              <w:right w:val="nil"/>
            </w:tcBorders>
          </w:tcPr>
          <w:p w:rsidR="00366322" w:rsidRDefault="00366322" w:rsidP="001804DA">
            <w:pPr>
              <w:spacing w:line="360" w:lineRule="auto"/>
            </w:pPr>
          </w:p>
        </w:tc>
        <w:tc>
          <w:tcPr>
            <w:tcW w:w="2790" w:type="dxa"/>
            <w:tcBorders>
              <w:top w:val="nil"/>
              <w:left w:val="nil"/>
              <w:bottom w:val="nil"/>
              <w:right w:val="nil"/>
            </w:tcBorders>
          </w:tcPr>
          <w:p w:rsidR="00366322" w:rsidRDefault="00366322" w:rsidP="001804DA">
            <w:pPr>
              <w:spacing w:line="360" w:lineRule="auto"/>
            </w:pPr>
            <w:r>
              <w:t>FEP</w:t>
            </w:r>
          </w:p>
        </w:tc>
        <w:tc>
          <w:tcPr>
            <w:tcW w:w="1527" w:type="dxa"/>
            <w:tcBorders>
              <w:top w:val="nil"/>
              <w:left w:val="nil"/>
              <w:bottom w:val="nil"/>
              <w:right w:val="nil"/>
            </w:tcBorders>
            <w:vAlign w:val="center"/>
          </w:tcPr>
          <w:p w:rsidR="00366322" w:rsidRDefault="00366322" w:rsidP="001804DA">
            <w:pPr>
              <w:spacing w:line="360" w:lineRule="auto"/>
              <w:jc w:val="center"/>
            </w:pPr>
            <w:r>
              <w:t>2 (2%)</w:t>
            </w:r>
          </w:p>
        </w:tc>
        <w:tc>
          <w:tcPr>
            <w:tcW w:w="1528" w:type="dxa"/>
            <w:tcBorders>
              <w:top w:val="nil"/>
              <w:left w:val="nil"/>
              <w:bottom w:val="nil"/>
              <w:right w:val="nil"/>
            </w:tcBorders>
            <w:vAlign w:val="center"/>
          </w:tcPr>
          <w:p w:rsidR="00366322" w:rsidRDefault="00366322" w:rsidP="001804DA">
            <w:pPr>
              <w:spacing w:line="360" w:lineRule="auto"/>
              <w:jc w:val="center"/>
            </w:pPr>
            <w:r>
              <w:t>24</w:t>
            </w:r>
            <w:r w:rsidR="0080269E">
              <w:t xml:space="preserve"> (6%)</w:t>
            </w:r>
          </w:p>
        </w:tc>
        <w:tc>
          <w:tcPr>
            <w:tcW w:w="1527" w:type="dxa"/>
            <w:tcBorders>
              <w:top w:val="nil"/>
              <w:left w:val="nil"/>
              <w:bottom w:val="nil"/>
              <w:right w:val="nil"/>
            </w:tcBorders>
            <w:vAlign w:val="center"/>
          </w:tcPr>
          <w:p w:rsidR="00366322" w:rsidRDefault="00366322" w:rsidP="001804DA">
            <w:pPr>
              <w:spacing w:line="360" w:lineRule="auto"/>
              <w:jc w:val="center"/>
            </w:pPr>
            <w:r>
              <w:t>19</w:t>
            </w:r>
            <w:r w:rsidR="0080269E">
              <w:t xml:space="preserve"> (14%)</w:t>
            </w:r>
          </w:p>
        </w:tc>
        <w:tc>
          <w:tcPr>
            <w:tcW w:w="1528" w:type="dxa"/>
            <w:tcBorders>
              <w:top w:val="nil"/>
              <w:left w:val="nil"/>
              <w:bottom w:val="nil"/>
              <w:right w:val="nil"/>
            </w:tcBorders>
            <w:vAlign w:val="center"/>
          </w:tcPr>
          <w:p w:rsidR="00366322" w:rsidRDefault="00366322" w:rsidP="001804DA">
            <w:pPr>
              <w:spacing w:line="360" w:lineRule="auto"/>
              <w:jc w:val="center"/>
            </w:pPr>
            <w:r>
              <w:t>162</w:t>
            </w:r>
            <w:r w:rsidR="0080269E">
              <w:t xml:space="preserve"> (24%)</w:t>
            </w:r>
          </w:p>
        </w:tc>
      </w:tr>
      <w:tr w:rsidR="00366322" w:rsidTr="00B012D0">
        <w:tc>
          <w:tcPr>
            <w:tcW w:w="450" w:type="dxa"/>
            <w:tcBorders>
              <w:top w:val="nil"/>
              <w:left w:val="nil"/>
              <w:bottom w:val="nil"/>
              <w:right w:val="nil"/>
            </w:tcBorders>
          </w:tcPr>
          <w:p w:rsidR="00366322" w:rsidRDefault="00366322" w:rsidP="001804DA">
            <w:pPr>
              <w:spacing w:line="360" w:lineRule="auto"/>
            </w:pPr>
          </w:p>
        </w:tc>
        <w:tc>
          <w:tcPr>
            <w:tcW w:w="2790" w:type="dxa"/>
            <w:tcBorders>
              <w:top w:val="nil"/>
              <w:left w:val="nil"/>
              <w:bottom w:val="nil"/>
              <w:right w:val="nil"/>
            </w:tcBorders>
          </w:tcPr>
          <w:p w:rsidR="00366322" w:rsidRDefault="00366322" w:rsidP="001804DA">
            <w:pPr>
              <w:spacing w:line="360" w:lineRule="auto"/>
            </w:pPr>
            <w:r>
              <w:t>Not ELL</w:t>
            </w:r>
          </w:p>
        </w:tc>
        <w:tc>
          <w:tcPr>
            <w:tcW w:w="1527" w:type="dxa"/>
            <w:tcBorders>
              <w:top w:val="nil"/>
              <w:left w:val="nil"/>
              <w:bottom w:val="nil"/>
              <w:right w:val="nil"/>
            </w:tcBorders>
            <w:vAlign w:val="center"/>
          </w:tcPr>
          <w:p w:rsidR="00366322" w:rsidRDefault="00366322" w:rsidP="001804DA">
            <w:pPr>
              <w:spacing w:line="360" w:lineRule="auto"/>
              <w:jc w:val="center"/>
            </w:pPr>
            <w:r>
              <w:t>21 (23%)</w:t>
            </w:r>
          </w:p>
        </w:tc>
        <w:tc>
          <w:tcPr>
            <w:tcW w:w="1528" w:type="dxa"/>
            <w:tcBorders>
              <w:top w:val="nil"/>
              <w:left w:val="nil"/>
              <w:bottom w:val="nil"/>
              <w:right w:val="nil"/>
            </w:tcBorders>
            <w:vAlign w:val="center"/>
          </w:tcPr>
          <w:p w:rsidR="00366322" w:rsidRDefault="00366322" w:rsidP="001804DA">
            <w:pPr>
              <w:spacing w:line="360" w:lineRule="auto"/>
              <w:jc w:val="center"/>
            </w:pPr>
            <w:r>
              <w:t>133</w:t>
            </w:r>
            <w:r w:rsidR="0080269E">
              <w:t xml:space="preserve"> (31%)</w:t>
            </w:r>
          </w:p>
        </w:tc>
        <w:tc>
          <w:tcPr>
            <w:tcW w:w="1527" w:type="dxa"/>
            <w:tcBorders>
              <w:top w:val="nil"/>
              <w:left w:val="nil"/>
              <w:bottom w:val="nil"/>
              <w:right w:val="nil"/>
            </w:tcBorders>
            <w:vAlign w:val="center"/>
          </w:tcPr>
          <w:p w:rsidR="00366322" w:rsidRDefault="00366322" w:rsidP="001804DA">
            <w:pPr>
              <w:spacing w:line="360" w:lineRule="auto"/>
              <w:jc w:val="center"/>
            </w:pPr>
            <w:r>
              <w:t>76</w:t>
            </w:r>
            <w:r w:rsidR="0080269E">
              <w:t xml:space="preserve"> (56%)</w:t>
            </w:r>
          </w:p>
        </w:tc>
        <w:tc>
          <w:tcPr>
            <w:tcW w:w="1528" w:type="dxa"/>
            <w:tcBorders>
              <w:top w:val="nil"/>
              <w:left w:val="nil"/>
              <w:bottom w:val="nil"/>
              <w:right w:val="nil"/>
            </w:tcBorders>
            <w:vAlign w:val="center"/>
          </w:tcPr>
          <w:p w:rsidR="00366322" w:rsidRDefault="00366322" w:rsidP="001804DA">
            <w:pPr>
              <w:spacing w:line="360" w:lineRule="auto"/>
              <w:jc w:val="center"/>
            </w:pPr>
            <w:r>
              <w:t>288</w:t>
            </w:r>
            <w:r w:rsidR="0080269E">
              <w:t xml:space="preserve"> (42%)</w:t>
            </w:r>
          </w:p>
        </w:tc>
      </w:tr>
      <w:tr w:rsidR="00366322" w:rsidTr="00B012D0">
        <w:tc>
          <w:tcPr>
            <w:tcW w:w="450" w:type="dxa"/>
            <w:tcBorders>
              <w:top w:val="nil"/>
              <w:left w:val="nil"/>
              <w:bottom w:val="nil"/>
              <w:right w:val="nil"/>
            </w:tcBorders>
          </w:tcPr>
          <w:p w:rsidR="00366322" w:rsidRDefault="00366322" w:rsidP="001804DA">
            <w:pPr>
              <w:spacing w:line="360" w:lineRule="auto"/>
            </w:pPr>
          </w:p>
        </w:tc>
        <w:tc>
          <w:tcPr>
            <w:tcW w:w="2790" w:type="dxa"/>
            <w:tcBorders>
              <w:top w:val="nil"/>
              <w:left w:val="nil"/>
              <w:bottom w:val="nil"/>
              <w:right w:val="nil"/>
            </w:tcBorders>
          </w:tcPr>
          <w:p w:rsidR="00366322" w:rsidRDefault="00366322" w:rsidP="001804DA">
            <w:pPr>
              <w:spacing w:line="360" w:lineRule="auto"/>
            </w:pPr>
            <w:r>
              <w:t>FELL / PHLOTE</w:t>
            </w:r>
          </w:p>
        </w:tc>
        <w:tc>
          <w:tcPr>
            <w:tcW w:w="1527" w:type="dxa"/>
            <w:tcBorders>
              <w:top w:val="nil"/>
              <w:left w:val="nil"/>
              <w:bottom w:val="nil"/>
              <w:right w:val="nil"/>
            </w:tcBorders>
            <w:vAlign w:val="center"/>
          </w:tcPr>
          <w:p w:rsidR="00366322" w:rsidRDefault="00366322" w:rsidP="001804DA">
            <w:pPr>
              <w:spacing w:line="360" w:lineRule="auto"/>
              <w:jc w:val="center"/>
            </w:pPr>
            <w:r>
              <w:t>0 (0%)</w:t>
            </w:r>
          </w:p>
        </w:tc>
        <w:tc>
          <w:tcPr>
            <w:tcW w:w="1528" w:type="dxa"/>
            <w:tcBorders>
              <w:top w:val="nil"/>
              <w:left w:val="nil"/>
              <w:bottom w:val="nil"/>
              <w:right w:val="nil"/>
            </w:tcBorders>
            <w:vAlign w:val="center"/>
          </w:tcPr>
          <w:p w:rsidR="00366322" w:rsidRDefault="00366322" w:rsidP="001804DA">
            <w:pPr>
              <w:spacing w:line="360" w:lineRule="auto"/>
              <w:jc w:val="center"/>
            </w:pPr>
            <w:r>
              <w:t>6</w:t>
            </w:r>
            <w:r w:rsidR="0080269E">
              <w:t xml:space="preserve"> (1%)</w:t>
            </w:r>
          </w:p>
        </w:tc>
        <w:tc>
          <w:tcPr>
            <w:tcW w:w="1527" w:type="dxa"/>
            <w:tcBorders>
              <w:top w:val="nil"/>
              <w:left w:val="nil"/>
              <w:bottom w:val="nil"/>
              <w:right w:val="nil"/>
            </w:tcBorders>
            <w:vAlign w:val="center"/>
          </w:tcPr>
          <w:p w:rsidR="00366322" w:rsidRDefault="00366322" w:rsidP="001804DA">
            <w:pPr>
              <w:spacing w:line="360" w:lineRule="auto"/>
              <w:jc w:val="center"/>
            </w:pPr>
            <w:r>
              <w:t>1</w:t>
            </w:r>
            <w:r w:rsidR="0080269E">
              <w:t xml:space="preserve"> (1%)</w:t>
            </w:r>
          </w:p>
        </w:tc>
        <w:tc>
          <w:tcPr>
            <w:tcW w:w="1528" w:type="dxa"/>
            <w:tcBorders>
              <w:top w:val="nil"/>
              <w:left w:val="nil"/>
              <w:bottom w:val="nil"/>
              <w:right w:val="nil"/>
            </w:tcBorders>
            <w:vAlign w:val="center"/>
          </w:tcPr>
          <w:p w:rsidR="00366322" w:rsidRDefault="00366322" w:rsidP="001804DA">
            <w:pPr>
              <w:spacing w:line="360" w:lineRule="auto"/>
              <w:jc w:val="center"/>
            </w:pPr>
            <w:r>
              <w:t>31</w:t>
            </w:r>
            <w:r w:rsidR="0080269E">
              <w:t xml:space="preserve"> (5%)</w:t>
            </w:r>
          </w:p>
        </w:tc>
      </w:tr>
      <w:tr w:rsidR="00214FD6" w:rsidTr="00B012D0">
        <w:tc>
          <w:tcPr>
            <w:tcW w:w="3240" w:type="dxa"/>
            <w:gridSpan w:val="2"/>
            <w:tcBorders>
              <w:top w:val="nil"/>
              <w:left w:val="nil"/>
              <w:bottom w:val="nil"/>
              <w:right w:val="nil"/>
            </w:tcBorders>
          </w:tcPr>
          <w:p w:rsidR="00214FD6" w:rsidRDefault="00214FD6" w:rsidP="001804DA">
            <w:pPr>
              <w:spacing w:line="360" w:lineRule="auto"/>
            </w:pPr>
            <w:r>
              <w:t>Race / Ethnicity</w:t>
            </w:r>
          </w:p>
        </w:tc>
        <w:tc>
          <w:tcPr>
            <w:tcW w:w="1527" w:type="dxa"/>
            <w:tcBorders>
              <w:top w:val="nil"/>
              <w:left w:val="nil"/>
              <w:bottom w:val="nil"/>
              <w:right w:val="nil"/>
            </w:tcBorders>
            <w:vAlign w:val="center"/>
          </w:tcPr>
          <w:p w:rsidR="00214FD6" w:rsidRDefault="00214FD6" w:rsidP="001804DA">
            <w:pPr>
              <w:spacing w:line="360" w:lineRule="auto"/>
              <w:jc w:val="center"/>
            </w:pPr>
          </w:p>
        </w:tc>
        <w:tc>
          <w:tcPr>
            <w:tcW w:w="1528" w:type="dxa"/>
            <w:tcBorders>
              <w:top w:val="nil"/>
              <w:left w:val="nil"/>
              <w:bottom w:val="nil"/>
              <w:right w:val="nil"/>
            </w:tcBorders>
            <w:vAlign w:val="center"/>
          </w:tcPr>
          <w:p w:rsidR="00214FD6" w:rsidRDefault="00214FD6" w:rsidP="001804DA">
            <w:pPr>
              <w:spacing w:line="360" w:lineRule="auto"/>
              <w:jc w:val="center"/>
            </w:pPr>
          </w:p>
        </w:tc>
        <w:tc>
          <w:tcPr>
            <w:tcW w:w="1527" w:type="dxa"/>
            <w:tcBorders>
              <w:top w:val="nil"/>
              <w:left w:val="nil"/>
              <w:bottom w:val="nil"/>
              <w:right w:val="nil"/>
            </w:tcBorders>
            <w:vAlign w:val="center"/>
          </w:tcPr>
          <w:p w:rsidR="00214FD6" w:rsidRDefault="00214FD6" w:rsidP="001804DA">
            <w:pPr>
              <w:spacing w:line="360" w:lineRule="auto"/>
              <w:jc w:val="center"/>
            </w:pPr>
          </w:p>
        </w:tc>
        <w:tc>
          <w:tcPr>
            <w:tcW w:w="1528" w:type="dxa"/>
            <w:tcBorders>
              <w:top w:val="nil"/>
              <w:left w:val="nil"/>
              <w:bottom w:val="nil"/>
              <w:right w:val="nil"/>
            </w:tcBorders>
            <w:vAlign w:val="center"/>
          </w:tcPr>
          <w:p w:rsidR="00214FD6" w:rsidRDefault="00214FD6" w:rsidP="001804DA">
            <w:pPr>
              <w:spacing w:line="360" w:lineRule="auto"/>
              <w:jc w:val="center"/>
            </w:pPr>
          </w:p>
        </w:tc>
      </w:tr>
      <w:tr w:rsidR="00B012D0" w:rsidTr="00B012D0">
        <w:tc>
          <w:tcPr>
            <w:tcW w:w="450" w:type="dxa"/>
            <w:tcBorders>
              <w:top w:val="nil"/>
              <w:left w:val="nil"/>
              <w:bottom w:val="nil"/>
              <w:right w:val="nil"/>
            </w:tcBorders>
          </w:tcPr>
          <w:p w:rsidR="00B012D0" w:rsidRDefault="00B012D0" w:rsidP="001804DA">
            <w:pPr>
              <w:spacing w:line="360" w:lineRule="auto"/>
            </w:pPr>
          </w:p>
        </w:tc>
        <w:tc>
          <w:tcPr>
            <w:tcW w:w="2790" w:type="dxa"/>
            <w:tcBorders>
              <w:top w:val="nil"/>
              <w:left w:val="nil"/>
              <w:bottom w:val="nil"/>
              <w:right w:val="nil"/>
            </w:tcBorders>
          </w:tcPr>
          <w:p w:rsidR="00B012D0" w:rsidRDefault="00B012D0" w:rsidP="001804DA">
            <w:pPr>
              <w:spacing w:line="360" w:lineRule="auto"/>
            </w:pPr>
            <w:r>
              <w:t>American Indian</w:t>
            </w:r>
          </w:p>
        </w:tc>
        <w:tc>
          <w:tcPr>
            <w:tcW w:w="1527" w:type="dxa"/>
            <w:tcBorders>
              <w:top w:val="nil"/>
              <w:left w:val="nil"/>
              <w:bottom w:val="nil"/>
              <w:right w:val="nil"/>
            </w:tcBorders>
            <w:vAlign w:val="center"/>
          </w:tcPr>
          <w:p w:rsidR="00B012D0" w:rsidRDefault="00B012D0" w:rsidP="001804DA">
            <w:pPr>
              <w:spacing w:line="360" w:lineRule="auto"/>
              <w:jc w:val="center"/>
            </w:pPr>
            <w:r>
              <w:t>0 (0%)</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sz w:val="22"/>
              </w:rPr>
            </w:pPr>
            <w:r w:rsidRPr="00B012D0">
              <w:rPr>
                <w:rFonts w:cs="Times New Roman"/>
                <w:sz w:val="22"/>
              </w:rPr>
              <w:t>1 (0%)</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2 (1%)</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7 (1%)</w:t>
            </w:r>
          </w:p>
        </w:tc>
      </w:tr>
      <w:tr w:rsidR="00B012D0" w:rsidTr="00B012D0">
        <w:tc>
          <w:tcPr>
            <w:tcW w:w="450" w:type="dxa"/>
            <w:tcBorders>
              <w:top w:val="nil"/>
              <w:left w:val="nil"/>
              <w:bottom w:val="nil"/>
              <w:right w:val="nil"/>
            </w:tcBorders>
          </w:tcPr>
          <w:p w:rsidR="00B012D0" w:rsidRDefault="00B012D0" w:rsidP="001804DA">
            <w:pPr>
              <w:spacing w:line="360" w:lineRule="auto"/>
            </w:pPr>
          </w:p>
        </w:tc>
        <w:tc>
          <w:tcPr>
            <w:tcW w:w="2790" w:type="dxa"/>
            <w:tcBorders>
              <w:top w:val="nil"/>
              <w:left w:val="nil"/>
              <w:bottom w:val="nil"/>
              <w:right w:val="nil"/>
            </w:tcBorders>
          </w:tcPr>
          <w:p w:rsidR="00B012D0" w:rsidRDefault="00B012D0" w:rsidP="001804DA">
            <w:pPr>
              <w:spacing w:line="360" w:lineRule="auto"/>
            </w:pPr>
            <w:r>
              <w:t>Asian</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9 (10%)</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sz w:val="22"/>
              </w:rPr>
            </w:pPr>
            <w:r w:rsidRPr="00B012D0">
              <w:rPr>
                <w:rFonts w:cs="Times New Roman"/>
                <w:sz w:val="22"/>
              </w:rPr>
              <w:t>20 (5%)</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6 (4%)</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25 (4%)</w:t>
            </w:r>
          </w:p>
        </w:tc>
      </w:tr>
      <w:tr w:rsidR="00B012D0" w:rsidTr="00B012D0">
        <w:tc>
          <w:tcPr>
            <w:tcW w:w="450" w:type="dxa"/>
            <w:tcBorders>
              <w:top w:val="nil"/>
              <w:left w:val="nil"/>
              <w:bottom w:val="nil"/>
              <w:right w:val="nil"/>
            </w:tcBorders>
          </w:tcPr>
          <w:p w:rsidR="00B012D0" w:rsidRDefault="00B012D0" w:rsidP="001804DA">
            <w:pPr>
              <w:spacing w:line="360" w:lineRule="auto"/>
            </w:pPr>
          </w:p>
        </w:tc>
        <w:tc>
          <w:tcPr>
            <w:tcW w:w="2790" w:type="dxa"/>
            <w:tcBorders>
              <w:top w:val="nil"/>
              <w:left w:val="nil"/>
              <w:bottom w:val="nil"/>
              <w:right w:val="nil"/>
            </w:tcBorders>
          </w:tcPr>
          <w:p w:rsidR="00B012D0" w:rsidRDefault="00B012D0" w:rsidP="001804DA">
            <w:pPr>
              <w:spacing w:line="360" w:lineRule="auto"/>
            </w:pPr>
            <w:r>
              <w:t>Black / African Amer.</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13 (14%)</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sz w:val="22"/>
              </w:rPr>
            </w:pPr>
            <w:r w:rsidRPr="00B012D0">
              <w:rPr>
                <w:rFonts w:cs="Times New Roman"/>
                <w:sz w:val="22"/>
              </w:rPr>
              <w:t>54 (13%)</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31 (23%)</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154 (23%)</w:t>
            </w:r>
          </w:p>
        </w:tc>
      </w:tr>
      <w:tr w:rsidR="00B012D0" w:rsidTr="00B012D0">
        <w:tc>
          <w:tcPr>
            <w:tcW w:w="450" w:type="dxa"/>
            <w:tcBorders>
              <w:top w:val="nil"/>
              <w:left w:val="nil"/>
              <w:bottom w:val="nil"/>
              <w:right w:val="nil"/>
            </w:tcBorders>
          </w:tcPr>
          <w:p w:rsidR="00B012D0" w:rsidRDefault="00B012D0" w:rsidP="001804DA">
            <w:pPr>
              <w:spacing w:line="360" w:lineRule="auto"/>
            </w:pPr>
          </w:p>
        </w:tc>
        <w:tc>
          <w:tcPr>
            <w:tcW w:w="2790" w:type="dxa"/>
            <w:tcBorders>
              <w:top w:val="nil"/>
              <w:left w:val="nil"/>
              <w:bottom w:val="nil"/>
              <w:right w:val="nil"/>
            </w:tcBorders>
          </w:tcPr>
          <w:p w:rsidR="00B012D0" w:rsidRDefault="00B012D0" w:rsidP="001804DA">
            <w:pPr>
              <w:spacing w:line="360" w:lineRule="auto"/>
            </w:pPr>
            <w:r>
              <w:t>Hispanic</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66 (73%)</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sz w:val="22"/>
              </w:rPr>
            </w:pPr>
            <w:r w:rsidRPr="00B012D0">
              <w:rPr>
                <w:rFonts w:cs="Times New Roman"/>
                <w:sz w:val="22"/>
              </w:rPr>
              <w:t>312 (74%)</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57 (42%)</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402 (59%)</w:t>
            </w:r>
          </w:p>
        </w:tc>
      </w:tr>
      <w:tr w:rsidR="00B012D0" w:rsidTr="00B012D0">
        <w:tc>
          <w:tcPr>
            <w:tcW w:w="450" w:type="dxa"/>
            <w:tcBorders>
              <w:top w:val="nil"/>
              <w:left w:val="nil"/>
              <w:bottom w:val="nil"/>
              <w:right w:val="nil"/>
            </w:tcBorders>
          </w:tcPr>
          <w:p w:rsidR="00B012D0" w:rsidRDefault="00B012D0" w:rsidP="001804DA">
            <w:pPr>
              <w:spacing w:line="360" w:lineRule="auto"/>
            </w:pPr>
          </w:p>
        </w:tc>
        <w:tc>
          <w:tcPr>
            <w:tcW w:w="2790" w:type="dxa"/>
            <w:tcBorders>
              <w:top w:val="nil"/>
              <w:left w:val="nil"/>
              <w:bottom w:val="nil"/>
              <w:right w:val="nil"/>
            </w:tcBorders>
          </w:tcPr>
          <w:p w:rsidR="00B012D0" w:rsidRDefault="00B012D0" w:rsidP="001804DA">
            <w:pPr>
              <w:spacing w:line="360" w:lineRule="auto"/>
            </w:pPr>
            <w:r>
              <w:t>Native Hawaiian/Pac. Isl.</w:t>
            </w:r>
          </w:p>
        </w:tc>
        <w:tc>
          <w:tcPr>
            <w:tcW w:w="1527" w:type="dxa"/>
            <w:tcBorders>
              <w:top w:val="nil"/>
              <w:left w:val="nil"/>
              <w:bottom w:val="nil"/>
              <w:right w:val="nil"/>
            </w:tcBorders>
            <w:vAlign w:val="center"/>
          </w:tcPr>
          <w:p w:rsidR="00B012D0" w:rsidRDefault="00B012D0" w:rsidP="001804DA">
            <w:pPr>
              <w:spacing w:line="360" w:lineRule="auto"/>
              <w:jc w:val="center"/>
            </w:pPr>
            <w:r>
              <w:t>0 (0%)</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sz w:val="22"/>
              </w:rPr>
            </w:pPr>
            <w:r w:rsidRPr="00B012D0">
              <w:rPr>
                <w:rFonts w:cs="Times New Roman"/>
                <w:sz w:val="22"/>
              </w:rPr>
              <w:t>1 (0%)</w:t>
            </w:r>
          </w:p>
        </w:tc>
        <w:tc>
          <w:tcPr>
            <w:tcW w:w="1527" w:type="dxa"/>
            <w:tcBorders>
              <w:top w:val="nil"/>
              <w:left w:val="nil"/>
              <w:bottom w:val="nil"/>
              <w:right w:val="nil"/>
            </w:tcBorders>
            <w:vAlign w:val="center"/>
          </w:tcPr>
          <w:p w:rsidR="00B012D0" w:rsidRDefault="00B012D0" w:rsidP="001804DA">
            <w:pPr>
              <w:spacing w:line="360" w:lineRule="auto"/>
              <w:jc w:val="center"/>
            </w:pPr>
            <w:r>
              <w:t>0 (0%)</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8 (1%)</w:t>
            </w:r>
          </w:p>
        </w:tc>
      </w:tr>
      <w:tr w:rsidR="00B012D0" w:rsidTr="00B012D0">
        <w:tc>
          <w:tcPr>
            <w:tcW w:w="450" w:type="dxa"/>
            <w:tcBorders>
              <w:top w:val="nil"/>
              <w:left w:val="nil"/>
              <w:bottom w:val="nil"/>
              <w:right w:val="nil"/>
            </w:tcBorders>
          </w:tcPr>
          <w:p w:rsidR="00B012D0" w:rsidRDefault="00B012D0" w:rsidP="001804DA">
            <w:pPr>
              <w:spacing w:line="360" w:lineRule="auto"/>
            </w:pPr>
          </w:p>
        </w:tc>
        <w:tc>
          <w:tcPr>
            <w:tcW w:w="2790" w:type="dxa"/>
            <w:tcBorders>
              <w:top w:val="nil"/>
              <w:left w:val="nil"/>
              <w:bottom w:val="nil"/>
              <w:right w:val="nil"/>
            </w:tcBorders>
          </w:tcPr>
          <w:p w:rsidR="00B012D0" w:rsidRDefault="00B012D0" w:rsidP="001804DA">
            <w:pPr>
              <w:spacing w:line="360" w:lineRule="auto"/>
            </w:pPr>
            <w:r>
              <w:t>White</w:t>
            </w:r>
          </w:p>
        </w:tc>
        <w:tc>
          <w:tcPr>
            <w:tcW w:w="1527" w:type="dxa"/>
            <w:tcBorders>
              <w:top w:val="nil"/>
              <w:left w:val="nil"/>
              <w:bottom w:val="nil"/>
              <w:right w:val="nil"/>
            </w:tcBorders>
            <w:vAlign w:val="center"/>
          </w:tcPr>
          <w:p w:rsidR="00B012D0" w:rsidRDefault="00B012D0" w:rsidP="001804DA">
            <w:pPr>
              <w:spacing w:line="360" w:lineRule="auto"/>
              <w:jc w:val="center"/>
            </w:pPr>
            <w:r>
              <w:t>0 (0%)</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sz w:val="22"/>
              </w:rPr>
            </w:pPr>
            <w:r w:rsidRPr="00B012D0">
              <w:rPr>
                <w:rFonts w:cs="Times New Roman"/>
                <w:sz w:val="22"/>
              </w:rPr>
              <w:t>21 (5%)</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30 (22%)</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45 (7%)</w:t>
            </w:r>
          </w:p>
        </w:tc>
      </w:tr>
      <w:tr w:rsidR="00B012D0" w:rsidTr="00B012D0">
        <w:tc>
          <w:tcPr>
            <w:tcW w:w="450" w:type="dxa"/>
            <w:tcBorders>
              <w:top w:val="nil"/>
              <w:left w:val="nil"/>
              <w:bottom w:val="nil"/>
              <w:right w:val="nil"/>
            </w:tcBorders>
          </w:tcPr>
          <w:p w:rsidR="00B012D0" w:rsidRDefault="00B012D0" w:rsidP="001804DA">
            <w:pPr>
              <w:spacing w:line="360" w:lineRule="auto"/>
            </w:pPr>
          </w:p>
        </w:tc>
        <w:tc>
          <w:tcPr>
            <w:tcW w:w="2790" w:type="dxa"/>
            <w:tcBorders>
              <w:top w:val="nil"/>
              <w:left w:val="nil"/>
              <w:bottom w:val="nil"/>
              <w:right w:val="nil"/>
            </w:tcBorders>
          </w:tcPr>
          <w:p w:rsidR="00B012D0" w:rsidRDefault="00B012D0" w:rsidP="001804DA">
            <w:pPr>
              <w:spacing w:line="360" w:lineRule="auto"/>
            </w:pPr>
            <w:r>
              <w:t>2+ Races Indicated</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sz w:val="22"/>
              </w:rPr>
            </w:pPr>
            <w:r w:rsidRPr="00B012D0">
              <w:rPr>
                <w:rFonts w:cs="Times New Roman"/>
                <w:color w:val="000000"/>
                <w:sz w:val="22"/>
              </w:rPr>
              <w:t>2 (2%)</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sz w:val="22"/>
              </w:rPr>
            </w:pPr>
            <w:r w:rsidRPr="00B012D0">
              <w:rPr>
                <w:rFonts w:cs="Times New Roman"/>
                <w:sz w:val="22"/>
              </w:rPr>
              <w:t>15 (4%)</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9 (7%)</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sz w:val="22"/>
              </w:rPr>
            </w:pPr>
            <w:r w:rsidRPr="00B012D0">
              <w:rPr>
                <w:rFonts w:cs="Times New Roman"/>
                <w:color w:val="000000"/>
                <w:sz w:val="22"/>
              </w:rPr>
              <w:t>42 (6%)</w:t>
            </w:r>
          </w:p>
        </w:tc>
      </w:tr>
      <w:tr w:rsidR="00B012D0" w:rsidTr="00837A2E">
        <w:tc>
          <w:tcPr>
            <w:tcW w:w="3240" w:type="dxa"/>
            <w:gridSpan w:val="2"/>
            <w:tcBorders>
              <w:top w:val="nil"/>
              <w:left w:val="nil"/>
              <w:bottom w:val="nil"/>
              <w:right w:val="nil"/>
            </w:tcBorders>
          </w:tcPr>
          <w:p w:rsidR="00B012D0" w:rsidRDefault="00B012D0" w:rsidP="001804DA">
            <w:pPr>
              <w:spacing w:line="360" w:lineRule="auto"/>
            </w:pPr>
            <w:r>
              <w:t>IEP Status</w:t>
            </w:r>
          </w:p>
        </w:tc>
        <w:tc>
          <w:tcPr>
            <w:tcW w:w="1527" w:type="dxa"/>
            <w:tcBorders>
              <w:top w:val="nil"/>
              <w:left w:val="nil"/>
              <w:bottom w:val="nil"/>
              <w:right w:val="nil"/>
            </w:tcBorders>
            <w:vAlign w:val="center"/>
          </w:tcPr>
          <w:p w:rsidR="00B012D0" w:rsidRDefault="00B012D0" w:rsidP="001804DA">
            <w:pPr>
              <w:spacing w:line="360" w:lineRule="auto"/>
              <w:jc w:val="center"/>
            </w:pPr>
          </w:p>
        </w:tc>
        <w:tc>
          <w:tcPr>
            <w:tcW w:w="1528" w:type="dxa"/>
            <w:tcBorders>
              <w:top w:val="nil"/>
              <w:left w:val="nil"/>
              <w:bottom w:val="nil"/>
              <w:right w:val="nil"/>
            </w:tcBorders>
            <w:vAlign w:val="center"/>
          </w:tcPr>
          <w:p w:rsidR="00B012D0" w:rsidRDefault="00B012D0" w:rsidP="001804DA">
            <w:pPr>
              <w:spacing w:line="360" w:lineRule="auto"/>
              <w:jc w:val="center"/>
            </w:pPr>
          </w:p>
        </w:tc>
        <w:tc>
          <w:tcPr>
            <w:tcW w:w="1527" w:type="dxa"/>
            <w:tcBorders>
              <w:top w:val="nil"/>
              <w:left w:val="nil"/>
              <w:bottom w:val="nil"/>
              <w:right w:val="nil"/>
            </w:tcBorders>
            <w:vAlign w:val="center"/>
          </w:tcPr>
          <w:p w:rsidR="00B012D0" w:rsidRDefault="00B012D0" w:rsidP="001804DA">
            <w:pPr>
              <w:spacing w:line="360" w:lineRule="auto"/>
              <w:jc w:val="center"/>
            </w:pPr>
          </w:p>
        </w:tc>
        <w:tc>
          <w:tcPr>
            <w:tcW w:w="1528" w:type="dxa"/>
            <w:tcBorders>
              <w:top w:val="nil"/>
              <w:left w:val="nil"/>
              <w:bottom w:val="nil"/>
              <w:right w:val="nil"/>
            </w:tcBorders>
            <w:vAlign w:val="center"/>
          </w:tcPr>
          <w:p w:rsidR="00B012D0" w:rsidRDefault="00B012D0" w:rsidP="001804DA">
            <w:pPr>
              <w:spacing w:line="360" w:lineRule="auto"/>
              <w:jc w:val="center"/>
            </w:pPr>
          </w:p>
        </w:tc>
      </w:tr>
      <w:tr w:rsidR="00B012D0" w:rsidTr="00B012D0">
        <w:tc>
          <w:tcPr>
            <w:tcW w:w="450" w:type="dxa"/>
            <w:tcBorders>
              <w:top w:val="nil"/>
              <w:left w:val="nil"/>
              <w:bottom w:val="nil"/>
              <w:right w:val="nil"/>
            </w:tcBorders>
          </w:tcPr>
          <w:p w:rsidR="00B012D0" w:rsidRDefault="00B012D0" w:rsidP="001804DA">
            <w:pPr>
              <w:spacing w:line="360" w:lineRule="auto"/>
            </w:pPr>
          </w:p>
        </w:tc>
        <w:tc>
          <w:tcPr>
            <w:tcW w:w="2790" w:type="dxa"/>
            <w:tcBorders>
              <w:top w:val="nil"/>
              <w:left w:val="nil"/>
              <w:bottom w:val="nil"/>
              <w:right w:val="nil"/>
            </w:tcBorders>
          </w:tcPr>
          <w:p w:rsidR="00B012D0" w:rsidRDefault="00B012D0" w:rsidP="001804DA">
            <w:pPr>
              <w:spacing w:line="360" w:lineRule="auto"/>
            </w:pPr>
            <w:r>
              <w:t>On an IEP</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rPr>
            </w:pPr>
            <w:r w:rsidRPr="00B012D0">
              <w:rPr>
                <w:rFonts w:cs="Times New Roman"/>
                <w:color w:val="000000"/>
              </w:rPr>
              <w:t>15 (17%)</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rPr>
            </w:pPr>
            <w:r w:rsidRPr="00B012D0">
              <w:rPr>
                <w:rFonts w:cs="Times New Roman"/>
                <w:color w:val="000000"/>
              </w:rPr>
              <w:t>62 (15%)</w:t>
            </w:r>
          </w:p>
        </w:tc>
        <w:tc>
          <w:tcPr>
            <w:tcW w:w="1527"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rPr>
            </w:pPr>
            <w:r w:rsidRPr="00B012D0">
              <w:rPr>
                <w:rFonts w:cs="Times New Roman"/>
                <w:color w:val="000000"/>
              </w:rPr>
              <w:t>19 (14%)</w:t>
            </w:r>
          </w:p>
        </w:tc>
        <w:tc>
          <w:tcPr>
            <w:tcW w:w="1528" w:type="dxa"/>
            <w:tcBorders>
              <w:top w:val="nil"/>
              <w:left w:val="nil"/>
              <w:bottom w:val="nil"/>
              <w:right w:val="nil"/>
            </w:tcBorders>
            <w:vAlign w:val="center"/>
          </w:tcPr>
          <w:p w:rsidR="00B012D0" w:rsidRPr="00B012D0" w:rsidRDefault="00B012D0" w:rsidP="001804DA">
            <w:pPr>
              <w:spacing w:line="360" w:lineRule="auto"/>
              <w:jc w:val="center"/>
              <w:rPr>
                <w:rFonts w:cs="Times New Roman"/>
                <w:color w:val="000000"/>
              </w:rPr>
            </w:pPr>
            <w:r w:rsidRPr="00B012D0">
              <w:rPr>
                <w:rFonts w:cs="Times New Roman"/>
                <w:color w:val="000000"/>
              </w:rPr>
              <w:t>106 (16%)</w:t>
            </w:r>
          </w:p>
        </w:tc>
      </w:tr>
      <w:tr w:rsidR="00B012D0" w:rsidTr="00497E2B">
        <w:tc>
          <w:tcPr>
            <w:tcW w:w="450" w:type="dxa"/>
            <w:tcBorders>
              <w:top w:val="nil"/>
              <w:left w:val="nil"/>
              <w:bottom w:val="single" w:sz="4" w:space="0" w:color="auto"/>
              <w:right w:val="nil"/>
            </w:tcBorders>
          </w:tcPr>
          <w:p w:rsidR="00B012D0" w:rsidRDefault="00B012D0" w:rsidP="001804DA">
            <w:pPr>
              <w:spacing w:line="360" w:lineRule="auto"/>
            </w:pPr>
          </w:p>
        </w:tc>
        <w:tc>
          <w:tcPr>
            <w:tcW w:w="2790" w:type="dxa"/>
            <w:tcBorders>
              <w:top w:val="nil"/>
              <w:left w:val="nil"/>
              <w:bottom w:val="single" w:sz="4" w:space="0" w:color="auto"/>
              <w:right w:val="nil"/>
            </w:tcBorders>
          </w:tcPr>
          <w:p w:rsidR="00B012D0" w:rsidRDefault="00B012D0" w:rsidP="001804DA">
            <w:pPr>
              <w:spacing w:line="360" w:lineRule="auto"/>
            </w:pPr>
            <w:r>
              <w:t>Not on an IEP</w:t>
            </w:r>
          </w:p>
        </w:tc>
        <w:tc>
          <w:tcPr>
            <w:tcW w:w="1527" w:type="dxa"/>
            <w:tcBorders>
              <w:top w:val="nil"/>
              <w:left w:val="nil"/>
              <w:bottom w:val="single" w:sz="4" w:space="0" w:color="auto"/>
              <w:right w:val="nil"/>
            </w:tcBorders>
            <w:vAlign w:val="center"/>
          </w:tcPr>
          <w:p w:rsidR="00B012D0" w:rsidRPr="00B012D0" w:rsidRDefault="00B012D0" w:rsidP="001804DA">
            <w:pPr>
              <w:spacing w:line="360" w:lineRule="auto"/>
              <w:jc w:val="center"/>
              <w:rPr>
                <w:rFonts w:cs="Times New Roman"/>
                <w:color w:val="000000"/>
              </w:rPr>
            </w:pPr>
            <w:r w:rsidRPr="00B012D0">
              <w:rPr>
                <w:rFonts w:cs="Times New Roman"/>
                <w:color w:val="000000"/>
              </w:rPr>
              <w:t>75 (83%)</w:t>
            </w:r>
          </w:p>
        </w:tc>
        <w:tc>
          <w:tcPr>
            <w:tcW w:w="1528" w:type="dxa"/>
            <w:tcBorders>
              <w:top w:val="nil"/>
              <w:left w:val="nil"/>
              <w:bottom w:val="single" w:sz="4" w:space="0" w:color="auto"/>
              <w:right w:val="nil"/>
            </w:tcBorders>
            <w:vAlign w:val="center"/>
          </w:tcPr>
          <w:p w:rsidR="00B012D0" w:rsidRPr="00B012D0" w:rsidRDefault="00B012D0" w:rsidP="001804DA">
            <w:pPr>
              <w:spacing w:line="360" w:lineRule="auto"/>
              <w:jc w:val="center"/>
              <w:rPr>
                <w:rFonts w:cs="Times New Roman"/>
                <w:color w:val="000000"/>
              </w:rPr>
            </w:pPr>
            <w:r w:rsidRPr="00B012D0">
              <w:rPr>
                <w:rFonts w:cs="Times New Roman"/>
                <w:color w:val="000000"/>
              </w:rPr>
              <w:t>362 (85%)</w:t>
            </w:r>
          </w:p>
        </w:tc>
        <w:tc>
          <w:tcPr>
            <w:tcW w:w="1527" w:type="dxa"/>
            <w:tcBorders>
              <w:top w:val="nil"/>
              <w:left w:val="nil"/>
              <w:bottom w:val="single" w:sz="4" w:space="0" w:color="auto"/>
              <w:right w:val="nil"/>
            </w:tcBorders>
            <w:vAlign w:val="center"/>
          </w:tcPr>
          <w:p w:rsidR="00B012D0" w:rsidRPr="00B012D0" w:rsidRDefault="00B012D0" w:rsidP="001804DA">
            <w:pPr>
              <w:spacing w:line="360" w:lineRule="auto"/>
              <w:jc w:val="center"/>
              <w:rPr>
                <w:rFonts w:cs="Times New Roman"/>
                <w:color w:val="000000"/>
              </w:rPr>
            </w:pPr>
            <w:r w:rsidRPr="00B012D0">
              <w:rPr>
                <w:rFonts w:cs="Times New Roman"/>
                <w:color w:val="000000"/>
              </w:rPr>
              <w:t>116 (86%)</w:t>
            </w:r>
          </w:p>
        </w:tc>
        <w:tc>
          <w:tcPr>
            <w:tcW w:w="1528" w:type="dxa"/>
            <w:tcBorders>
              <w:top w:val="nil"/>
              <w:left w:val="nil"/>
              <w:bottom w:val="single" w:sz="4" w:space="0" w:color="auto"/>
              <w:right w:val="nil"/>
            </w:tcBorders>
            <w:vAlign w:val="center"/>
          </w:tcPr>
          <w:p w:rsidR="00B012D0" w:rsidRPr="00B012D0" w:rsidRDefault="00B012D0" w:rsidP="001804DA">
            <w:pPr>
              <w:spacing w:line="360" w:lineRule="auto"/>
              <w:jc w:val="center"/>
              <w:rPr>
                <w:rFonts w:cs="Times New Roman"/>
                <w:color w:val="000000"/>
              </w:rPr>
            </w:pPr>
            <w:r w:rsidRPr="00B012D0">
              <w:rPr>
                <w:rFonts w:cs="Times New Roman"/>
                <w:color w:val="000000"/>
              </w:rPr>
              <w:t>577 (84%)</w:t>
            </w:r>
          </w:p>
        </w:tc>
      </w:tr>
      <w:tr w:rsidR="00497E2B" w:rsidTr="00497E2B">
        <w:tc>
          <w:tcPr>
            <w:tcW w:w="9350" w:type="dxa"/>
            <w:gridSpan w:val="6"/>
            <w:tcBorders>
              <w:top w:val="single" w:sz="4" w:space="0" w:color="auto"/>
              <w:left w:val="nil"/>
              <w:bottom w:val="nil"/>
              <w:right w:val="nil"/>
            </w:tcBorders>
          </w:tcPr>
          <w:p w:rsidR="00497E2B" w:rsidRPr="00497E2B" w:rsidRDefault="00497E2B" w:rsidP="001804DA">
            <w:pPr>
              <w:spacing w:line="360" w:lineRule="auto"/>
            </w:pPr>
            <w:r w:rsidRPr="00497E2B">
              <w:rPr>
                <w:i/>
              </w:rPr>
              <w:t xml:space="preserve">Note. </w:t>
            </w:r>
            <w:r>
              <w:t xml:space="preserve">Percentages are computed within the respective disaggregated group per each school. </w:t>
            </w:r>
          </w:p>
        </w:tc>
      </w:tr>
    </w:tbl>
    <w:p w:rsidR="006E4A86" w:rsidRDefault="006E4A86" w:rsidP="00780987">
      <w:pPr>
        <w:spacing w:after="0" w:line="480" w:lineRule="auto"/>
      </w:pPr>
      <w:r>
        <w:tab/>
        <w:t>Grade-level representation was also assessed. In order to see the overall representation of Compass participation across grade leve</w:t>
      </w:r>
      <w:r w:rsidR="00440501">
        <w:t>ls, Figure 1 illustrates the percentage of students within each grade level who were involved in Compass programming. In general (for both schools), a decreasing proportion of students participate in Compass in later grades.</w:t>
      </w:r>
    </w:p>
    <w:p w:rsidR="006E4A86" w:rsidRDefault="006E4A86" w:rsidP="006E4A86">
      <w:pPr>
        <w:keepNext/>
      </w:pPr>
      <w:r>
        <w:rPr>
          <w:noProof/>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4A86" w:rsidRPr="006E4A86" w:rsidRDefault="006E4A86" w:rsidP="006E4A86">
      <w:pPr>
        <w:pStyle w:val="Caption"/>
        <w:rPr>
          <w:color w:val="000000" w:themeColor="text1"/>
          <w:sz w:val="24"/>
          <w:szCs w:val="24"/>
        </w:rPr>
      </w:pPr>
      <w:r w:rsidRPr="006E4A86">
        <w:rPr>
          <w:color w:val="000000" w:themeColor="text1"/>
          <w:sz w:val="24"/>
          <w:szCs w:val="24"/>
        </w:rPr>
        <w:t xml:space="preserve">Figure </w:t>
      </w:r>
      <w:r w:rsidRPr="006E4A86">
        <w:rPr>
          <w:color w:val="000000" w:themeColor="text1"/>
          <w:sz w:val="24"/>
          <w:szCs w:val="24"/>
        </w:rPr>
        <w:fldChar w:fldCharType="begin"/>
      </w:r>
      <w:r w:rsidRPr="006E4A86">
        <w:rPr>
          <w:color w:val="000000" w:themeColor="text1"/>
          <w:sz w:val="24"/>
          <w:szCs w:val="24"/>
        </w:rPr>
        <w:instrText xml:space="preserve"> SEQ Figure \* ARABIC </w:instrText>
      </w:r>
      <w:r w:rsidRPr="006E4A86">
        <w:rPr>
          <w:color w:val="000000" w:themeColor="text1"/>
          <w:sz w:val="24"/>
          <w:szCs w:val="24"/>
        </w:rPr>
        <w:fldChar w:fldCharType="separate"/>
      </w:r>
      <w:r w:rsidR="0041444F">
        <w:rPr>
          <w:noProof/>
          <w:color w:val="000000" w:themeColor="text1"/>
          <w:sz w:val="24"/>
          <w:szCs w:val="24"/>
        </w:rPr>
        <w:t>1</w:t>
      </w:r>
      <w:r w:rsidRPr="006E4A86">
        <w:rPr>
          <w:color w:val="000000" w:themeColor="text1"/>
          <w:sz w:val="24"/>
          <w:szCs w:val="24"/>
        </w:rPr>
        <w:fldChar w:fldCharType="end"/>
      </w:r>
      <w:r w:rsidRPr="006E4A86">
        <w:rPr>
          <w:color w:val="000000" w:themeColor="text1"/>
          <w:sz w:val="24"/>
          <w:szCs w:val="24"/>
        </w:rPr>
        <w:t xml:space="preserve">. </w:t>
      </w:r>
      <w:r w:rsidRPr="006E4A86">
        <w:rPr>
          <w:i w:val="0"/>
          <w:color w:val="000000" w:themeColor="text1"/>
          <w:sz w:val="24"/>
          <w:szCs w:val="24"/>
        </w:rPr>
        <w:t>Percentage of students within each grade level who were involved in Compass programming in 2018-19.</w:t>
      </w:r>
    </w:p>
    <w:p w:rsidR="006E4A86" w:rsidRDefault="006E4A86"/>
    <w:p w:rsidR="006E4A86" w:rsidRPr="006E4A86" w:rsidRDefault="006E4A86" w:rsidP="00B311F1">
      <w:pPr>
        <w:spacing w:after="0" w:line="480" w:lineRule="auto"/>
        <w:rPr>
          <w:b/>
        </w:rPr>
      </w:pPr>
      <w:r w:rsidRPr="006E4A86">
        <w:rPr>
          <w:b/>
        </w:rPr>
        <w:t>Assessment</w:t>
      </w:r>
    </w:p>
    <w:p w:rsidR="006E4A86" w:rsidRPr="006E4A86" w:rsidRDefault="006E4A86" w:rsidP="00780987">
      <w:pPr>
        <w:spacing w:after="0" w:line="480" w:lineRule="auto"/>
        <w:rPr>
          <w:b/>
        </w:rPr>
      </w:pPr>
      <w:r w:rsidRPr="006E4A86">
        <w:rPr>
          <w:b/>
        </w:rPr>
        <w:t>Pre-participation comparisons</w:t>
      </w:r>
    </w:p>
    <w:p w:rsidR="006E4A86" w:rsidRDefault="006E184F" w:rsidP="00780987">
      <w:pPr>
        <w:spacing w:after="0" w:line="480" w:lineRule="auto"/>
      </w:pPr>
      <w:r>
        <w:tab/>
        <w:t xml:space="preserve">To assess if there were differences in groups prior to participation in Compass programming, CMAS ELA achievement and growth scores </w:t>
      </w:r>
      <w:r w:rsidR="00056E29">
        <w:t xml:space="preserve">from 2017-18 </w:t>
      </w:r>
      <w:r>
        <w:t xml:space="preserve">were analyzed. Overall, Compass </w:t>
      </w:r>
      <w:r w:rsidR="00780987">
        <w:t>s</w:t>
      </w:r>
      <w:r>
        <w:t>tudents (</w:t>
      </w:r>
      <w:r w:rsidRPr="006E184F">
        <w:rPr>
          <w:i/>
        </w:rPr>
        <w:t>M</w:t>
      </w:r>
      <w:r>
        <w:t xml:space="preserve"> = 718.05, </w:t>
      </w:r>
      <w:r w:rsidRPr="006E184F">
        <w:rPr>
          <w:i/>
        </w:rPr>
        <w:t>SD</w:t>
      </w:r>
      <w:r>
        <w:t xml:space="preserve"> = 33.55) were not significantly different than Non-Compass </w:t>
      </w:r>
      <w:r w:rsidR="00780987">
        <w:t>s</w:t>
      </w:r>
      <w:r>
        <w:t>tudents (</w:t>
      </w:r>
      <w:r w:rsidRPr="006E184F">
        <w:rPr>
          <w:i/>
        </w:rPr>
        <w:t>M</w:t>
      </w:r>
      <w:r>
        <w:t xml:space="preserve"> = 715.21, </w:t>
      </w:r>
      <w:r w:rsidRPr="006E184F">
        <w:rPr>
          <w:i/>
        </w:rPr>
        <w:t>SD</w:t>
      </w:r>
      <w:r>
        <w:t xml:space="preserve"> = 31.88)</w:t>
      </w:r>
      <w:r w:rsidRPr="006E184F">
        <w:t xml:space="preserve"> </w:t>
      </w:r>
      <w:r>
        <w:t>regarding CMAS English Language Arts achievement</w:t>
      </w:r>
      <w:r w:rsidR="007639E4">
        <w:t xml:space="preserve"> scores</w:t>
      </w:r>
      <w:r>
        <w:t xml:space="preserve">, </w:t>
      </w:r>
      <w:proofErr w:type="gramStart"/>
      <w:r w:rsidRPr="006E184F">
        <w:rPr>
          <w:i/>
        </w:rPr>
        <w:t>t</w:t>
      </w:r>
      <w:r>
        <w:t>(</w:t>
      </w:r>
      <w:proofErr w:type="gramEnd"/>
      <w:r>
        <w:t xml:space="preserve">518) = 0.71, </w:t>
      </w:r>
      <w:r w:rsidRPr="006E184F">
        <w:rPr>
          <w:i/>
        </w:rPr>
        <w:t>p</w:t>
      </w:r>
      <w:r>
        <w:t xml:space="preserve"> = .476. For Aurora Hills, Compass </w:t>
      </w:r>
      <w:r w:rsidR="00780987">
        <w:t>s</w:t>
      </w:r>
      <w:r>
        <w:t xml:space="preserve">tudents (M = 724.57, SD = 34.04) tended to score slightly higher than Non-Compass </w:t>
      </w:r>
      <w:r w:rsidR="00780987">
        <w:t>s</w:t>
      </w:r>
      <w:r>
        <w:t>tudents (</w:t>
      </w:r>
      <w:r w:rsidRPr="007639E4">
        <w:rPr>
          <w:i/>
        </w:rPr>
        <w:t>M</w:t>
      </w:r>
      <w:r>
        <w:t xml:space="preserve"> = 715.85, </w:t>
      </w:r>
      <w:r w:rsidRPr="007639E4">
        <w:rPr>
          <w:i/>
        </w:rPr>
        <w:t>SD</w:t>
      </w:r>
      <w:r>
        <w:t xml:space="preserve"> = 32.49)</w:t>
      </w:r>
      <w:r w:rsidR="007639E4">
        <w:t>, although the difference was not statistically significant</w:t>
      </w:r>
      <w:r>
        <w:t xml:space="preserve">, </w:t>
      </w:r>
      <w:proofErr w:type="gramStart"/>
      <w:r w:rsidRPr="007639E4">
        <w:rPr>
          <w:i/>
        </w:rPr>
        <w:t>t</w:t>
      </w:r>
      <w:r>
        <w:t>(</w:t>
      </w:r>
      <w:proofErr w:type="gramEnd"/>
      <w:r>
        <w:t xml:space="preserve">395) = 1.85, </w:t>
      </w:r>
      <w:r w:rsidRPr="007639E4">
        <w:rPr>
          <w:i/>
        </w:rPr>
        <w:t>p</w:t>
      </w:r>
      <w:r>
        <w:t xml:space="preserve"> = .065</w:t>
      </w:r>
      <w:r w:rsidR="007639E4">
        <w:t>. For Kenton,</w:t>
      </w:r>
      <w:r>
        <w:t xml:space="preserve"> Compass </w:t>
      </w:r>
      <w:r w:rsidR="00780987">
        <w:t>s</w:t>
      </w:r>
      <w:r>
        <w:t>tudents (</w:t>
      </w:r>
      <w:r w:rsidRPr="007639E4">
        <w:rPr>
          <w:i/>
        </w:rPr>
        <w:t>M</w:t>
      </w:r>
      <w:r>
        <w:t xml:space="preserve"> = 699.80, </w:t>
      </w:r>
      <w:r w:rsidRPr="007639E4">
        <w:rPr>
          <w:i/>
        </w:rPr>
        <w:t>SD</w:t>
      </w:r>
      <w:r>
        <w:t xml:space="preserve"> = 24.74)</w:t>
      </w:r>
      <w:r w:rsidR="007639E4">
        <w:t xml:space="preserve"> tended to score lower than</w:t>
      </w:r>
      <w:r>
        <w:t xml:space="preserve"> Non-Compass </w:t>
      </w:r>
      <w:r w:rsidR="00780987">
        <w:t>s</w:t>
      </w:r>
      <w:r>
        <w:t>tudents (</w:t>
      </w:r>
      <w:r w:rsidRPr="007639E4">
        <w:rPr>
          <w:i/>
        </w:rPr>
        <w:t>M</w:t>
      </w:r>
      <w:r>
        <w:t xml:space="preserve"> = 713.09, </w:t>
      </w:r>
      <w:r w:rsidRPr="007639E4">
        <w:rPr>
          <w:i/>
        </w:rPr>
        <w:t>SD</w:t>
      </w:r>
      <w:r>
        <w:t xml:space="preserve"> = 29.84)</w:t>
      </w:r>
      <w:r w:rsidR="007639E4">
        <w:t>, although, again, this difference did not achieve statistical significance</w:t>
      </w:r>
      <w:r>
        <w:t xml:space="preserve">, </w:t>
      </w:r>
      <w:proofErr w:type="gramStart"/>
      <w:r w:rsidRPr="007639E4">
        <w:rPr>
          <w:i/>
        </w:rPr>
        <w:t>t</w:t>
      </w:r>
      <w:r>
        <w:t>(</w:t>
      </w:r>
      <w:proofErr w:type="gramEnd"/>
      <w:r>
        <w:t xml:space="preserve">121) = -1.87, </w:t>
      </w:r>
      <w:r w:rsidRPr="007639E4">
        <w:rPr>
          <w:i/>
        </w:rPr>
        <w:t>p</w:t>
      </w:r>
      <w:r w:rsidR="007639E4">
        <w:t xml:space="preserve"> = .064.</w:t>
      </w:r>
    </w:p>
    <w:p w:rsidR="00780987" w:rsidRDefault="00780987" w:rsidP="00780987">
      <w:pPr>
        <w:spacing w:after="0" w:line="480" w:lineRule="auto"/>
        <w:ind w:firstLine="720"/>
        <w:rPr>
          <w:rFonts w:eastAsia="Times New Roman" w:cs="Times New Roman"/>
          <w:color w:val="000000" w:themeColor="text1"/>
          <w:szCs w:val="24"/>
        </w:rPr>
      </w:pPr>
      <w:r>
        <w:rPr>
          <w:rFonts w:eastAsia="Times New Roman" w:cs="Times New Roman"/>
          <w:color w:val="000000" w:themeColor="text1"/>
          <w:szCs w:val="24"/>
        </w:rPr>
        <w:lastRenderedPageBreak/>
        <w:t xml:space="preserve">CMAS Growth was also assessed. Overall, </w:t>
      </w:r>
      <w:r w:rsidRPr="00780987">
        <w:rPr>
          <w:rFonts w:eastAsia="Times New Roman" w:cs="Times New Roman"/>
          <w:color w:val="000000" w:themeColor="text1"/>
          <w:szCs w:val="24"/>
        </w:rPr>
        <w:t xml:space="preserve">Compass </w:t>
      </w:r>
      <w:r>
        <w:rPr>
          <w:rFonts w:eastAsia="Times New Roman" w:cs="Times New Roman"/>
          <w:color w:val="000000" w:themeColor="text1"/>
          <w:szCs w:val="24"/>
        </w:rPr>
        <w:t>s</w:t>
      </w:r>
      <w:r w:rsidRPr="00780987">
        <w:rPr>
          <w:rFonts w:eastAsia="Times New Roman" w:cs="Times New Roman"/>
          <w:color w:val="000000" w:themeColor="text1"/>
          <w:szCs w:val="24"/>
        </w:rPr>
        <w:t>tudents (</w:t>
      </w:r>
      <w:r w:rsidRPr="00780987">
        <w:rPr>
          <w:rFonts w:eastAsia="Times New Roman" w:cs="Times New Roman"/>
          <w:i/>
          <w:iCs/>
          <w:color w:val="000000" w:themeColor="text1"/>
          <w:szCs w:val="24"/>
        </w:rPr>
        <w:t>M</w:t>
      </w:r>
      <w:r w:rsidRPr="00780987">
        <w:rPr>
          <w:rFonts w:eastAsia="Times New Roman" w:cs="Times New Roman"/>
          <w:color w:val="000000" w:themeColor="text1"/>
          <w:szCs w:val="24"/>
        </w:rPr>
        <w:t xml:space="preserve"> = 50.90, </w:t>
      </w:r>
      <w:r w:rsidRPr="00780987">
        <w:rPr>
          <w:rFonts w:eastAsia="Times New Roman" w:cs="Times New Roman"/>
          <w:i/>
          <w:iCs/>
          <w:color w:val="000000" w:themeColor="text1"/>
          <w:szCs w:val="24"/>
        </w:rPr>
        <w:t>SD</w:t>
      </w:r>
      <w:r w:rsidRPr="00780987">
        <w:rPr>
          <w:rFonts w:eastAsia="Times New Roman" w:cs="Times New Roman"/>
          <w:color w:val="000000" w:themeColor="text1"/>
          <w:szCs w:val="24"/>
        </w:rPr>
        <w:t xml:space="preserve"> = 32.00)</w:t>
      </w:r>
      <w:r>
        <w:rPr>
          <w:rFonts w:eastAsia="Times New Roman" w:cs="Times New Roman"/>
          <w:color w:val="000000" w:themeColor="text1"/>
          <w:szCs w:val="24"/>
        </w:rPr>
        <w:t xml:space="preserve"> scored similarly, regarding their </w:t>
      </w:r>
      <w:r>
        <w:rPr>
          <w:rFonts w:eastAsia="Times New Roman" w:cs="Times New Roman"/>
          <w:i/>
          <w:color w:val="000000" w:themeColor="text1"/>
          <w:szCs w:val="24"/>
        </w:rPr>
        <w:t>average</w:t>
      </w:r>
      <w:r>
        <w:rPr>
          <w:rFonts w:eastAsia="Times New Roman" w:cs="Times New Roman"/>
          <w:color w:val="000000" w:themeColor="text1"/>
          <w:szCs w:val="24"/>
        </w:rPr>
        <w:t xml:space="preserve"> growth percentiles, compared to</w:t>
      </w:r>
      <w:r w:rsidRPr="00780987">
        <w:rPr>
          <w:rFonts w:eastAsia="Times New Roman" w:cs="Times New Roman"/>
          <w:color w:val="000000" w:themeColor="text1"/>
          <w:szCs w:val="24"/>
        </w:rPr>
        <w:t xml:space="preserve"> Non-Compass </w:t>
      </w:r>
      <w:r>
        <w:rPr>
          <w:rFonts w:eastAsia="Times New Roman" w:cs="Times New Roman"/>
          <w:color w:val="000000" w:themeColor="text1"/>
          <w:szCs w:val="24"/>
        </w:rPr>
        <w:t>s</w:t>
      </w:r>
      <w:r w:rsidRPr="00780987">
        <w:rPr>
          <w:rFonts w:eastAsia="Times New Roman" w:cs="Times New Roman"/>
          <w:color w:val="000000" w:themeColor="text1"/>
          <w:szCs w:val="24"/>
        </w:rPr>
        <w:t>tudents (</w:t>
      </w:r>
      <w:r w:rsidRPr="00780987">
        <w:rPr>
          <w:rFonts w:eastAsia="Times New Roman" w:cs="Times New Roman"/>
          <w:i/>
          <w:iCs/>
          <w:color w:val="000000" w:themeColor="text1"/>
          <w:szCs w:val="24"/>
        </w:rPr>
        <w:t>M</w:t>
      </w:r>
      <w:r w:rsidRPr="00780987">
        <w:rPr>
          <w:rFonts w:eastAsia="Times New Roman" w:cs="Times New Roman"/>
          <w:color w:val="000000" w:themeColor="text1"/>
          <w:szCs w:val="24"/>
        </w:rPr>
        <w:t xml:space="preserve"> = 45.99, </w:t>
      </w:r>
      <w:r w:rsidRPr="00780987">
        <w:rPr>
          <w:rFonts w:eastAsia="Times New Roman" w:cs="Times New Roman"/>
          <w:i/>
          <w:iCs/>
          <w:color w:val="000000" w:themeColor="text1"/>
          <w:szCs w:val="24"/>
        </w:rPr>
        <w:t>SD</w:t>
      </w:r>
      <w:r w:rsidRPr="00780987">
        <w:rPr>
          <w:rFonts w:eastAsia="Times New Roman" w:cs="Times New Roman"/>
          <w:color w:val="000000" w:themeColor="text1"/>
          <w:szCs w:val="24"/>
        </w:rPr>
        <w:t xml:space="preserve"> = 28.58), </w:t>
      </w:r>
      <w:proofErr w:type="gramStart"/>
      <w:r w:rsidRPr="00780987">
        <w:rPr>
          <w:rFonts w:eastAsia="Times New Roman" w:cs="Times New Roman"/>
          <w:i/>
          <w:iCs/>
          <w:color w:val="000000" w:themeColor="text1"/>
          <w:szCs w:val="24"/>
        </w:rPr>
        <w:t>t</w:t>
      </w:r>
      <w:r w:rsidRPr="00780987">
        <w:rPr>
          <w:rFonts w:eastAsia="Times New Roman" w:cs="Times New Roman"/>
          <w:color w:val="000000" w:themeColor="text1"/>
          <w:szCs w:val="24"/>
        </w:rPr>
        <w:t>(</w:t>
      </w:r>
      <w:proofErr w:type="gramEnd"/>
      <w:r w:rsidRPr="00780987">
        <w:rPr>
          <w:rFonts w:eastAsia="Times New Roman" w:cs="Times New Roman"/>
          <w:color w:val="000000" w:themeColor="text1"/>
          <w:szCs w:val="24"/>
        </w:rPr>
        <w:t xml:space="preserve">422) = 1.20, </w:t>
      </w:r>
      <w:r w:rsidRPr="00780987">
        <w:rPr>
          <w:rFonts w:eastAsia="Times New Roman" w:cs="Times New Roman"/>
          <w:i/>
          <w:iCs/>
          <w:color w:val="000000" w:themeColor="text1"/>
          <w:szCs w:val="24"/>
        </w:rPr>
        <w:t>p</w:t>
      </w:r>
      <w:r w:rsidRPr="00780987">
        <w:rPr>
          <w:rFonts w:eastAsia="Times New Roman" w:cs="Times New Roman"/>
          <w:color w:val="000000" w:themeColor="text1"/>
          <w:szCs w:val="24"/>
        </w:rPr>
        <w:t xml:space="preserve"> </w:t>
      </w:r>
      <w:r>
        <w:rPr>
          <w:rFonts w:eastAsia="Times New Roman" w:cs="Times New Roman"/>
          <w:color w:val="000000" w:themeColor="text1"/>
          <w:szCs w:val="24"/>
        </w:rPr>
        <w:t>= .230. For Aurora Hills,</w:t>
      </w:r>
      <w:r w:rsidRPr="00780987">
        <w:rPr>
          <w:rFonts w:eastAsia="Times New Roman" w:cs="Times New Roman"/>
          <w:color w:val="000000" w:themeColor="text1"/>
          <w:szCs w:val="24"/>
        </w:rPr>
        <w:t xml:space="preserve"> Compass </w:t>
      </w:r>
      <w:r>
        <w:rPr>
          <w:rFonts w:eastAsia="Times New Roman" w:cs="Times New Roman"/>
          <w:color w:val="000000" w:themeColor="text1"/>
          <w:szCs w:val="24"/>
        </w:rPr>
        <w:t>s</w:t>
      </w:r>
      <w:r w:rsidRPr="00780987">
        <w:rPr>
          <w:rFonts w:eastAsia="Times New Roman" w:cs="Times New Roman"/>
          <w:color w:val="000000" w:themeColor="text1"/>
          <w:szCs w:val="24"/>
        </w:rPr>
        <w:t>tudents (</w:t>
      </w:r>
      <w:r w:rsidRPr="00780987">
        <w:rPr>
          <w:rFonts w:eastAsia="Times New Roman" w:cs="Times New Roman"/>
          <w:i/>
          <w:iCs/>
          <w:color w:val="000000" w:themeColor="text1"/>
          <w:szCs w:val="24"/>
        </w:rPr>
        <w:t>M</w:t>
      </w:r>
      <w:r w:rsidRPr="00780987">
        <w:rPr>
          <w:rFonts w:eastAsia="Times New Roman" w:cs="Times New Roman"/>
          <w:color w:val="000000" w:themeColor="text1"/>
          <w:szCs w:val="24"/>
        </w:rPr>
        <w:t xml:space="preserve"> = 52.13, </w:t>
      </w:r>
      <w:r w:rsidRPr="00780987">
        <w:rPr>
          <w:rFonts w:eastAsia="Times New Roman" w:cs="Times New Roman"/>
          <w:i/>
          <w:iCs/>
          <w:color w:val="000000" w:themeColor="text1"/>
          <w:szCs w:val="24"/>
        </w:rPr>
        <w:t>SD</w:t>
      </w:r>
      <w:r>
        <w:rPr>
          <w:rFonts w:eastAsia="Times New Roman" w:cs="Times New Roman"/>
          <w:color w:val="000000" w:themeColor="text1"/>
          <w:szCs w:val="24"/>
        </w:rPr>
        <w:t xml:space="preserve"> = 32.62), again, scored similarly compared to</w:t>
      </w:r>
      <w:r w:rsidRPr="00780987">
        <w:rPr>
          <w:rFonts w:eastAsia="Times New Roman" w:cs="Times New Roman"/>
          <w:color w:val="000000" w:themeColor="text1"/>
          <w:szCs w:val="24"/>
        </w:rPr>
        <w:t xml:space="preserve">. Non-Compass </w:t>
      </w:r>
      <w:r>
        <w:rPr>
          <w:rFonts w:eastAsia="Times New Roman" w:cs="Times New Roman"/>
          <w:color w:val="000000" w:themeColor="text1"/>
          <w:szCs w:val="24"/>
        </w:rPr>
        <w:t>s</w:t>
      </w:r>
      <w:r w:rsidRPr="00780987">
        <w:rPr>
          <w:rFonts w:eastAsia="Times New Roman" w:cs="Times New Roman"/>
          <w:color w:val="000000" w:themeColor="text1"/>
          <w:szCs w:val="24"/>
        </w:rPr>
        <w:t>tudents (</w:t>
      </w:r>
      <w:r w:rsidRPr="00780987">
        <w:rPr>
          <w:rFonts w:eastAsia="Times New Roman" w:cs="Times New Roman"/>
          <w:i/>
          <w:iCs/>
          <w:color w:val="000000" w:themeColor="text1"/>
          <w:szCs w:val="24"/>
        </w:rPr>
        <w:t>M</w:t>
      </w:r>
      <w:r w:rsidRPr="00780987">
        <w:rPr>
          <w:rFonts w:eastAsia="Times New Roman" w:cs="Times New Roman"/>
          <w:color w:val="000000" w:themeColor="text1"/>
          <w:szCs w:val="24"/>
        </w:rPr>
        <w:t xml:space="preserve"> = 47.18, </w:t>
      </w:r>
      <w:r w:rsidRPr="00780987">
        <w:rPr>
          <w:rFonts w:eastAsia="Times New Roman" w:cs="Times New Roman"/>
          <w:i/>
          <w:iCs/>
          <w:color w:val="000000" w:themeColor="text1"/>
          <w:szCs w:val="24"/>
        </w:rPr>
        <w:t>SD</w:t>
      </w:r>
      <w:r w:rsidRPr="00780987">
        <w:rPr>
          <w:rFonts w:eastAsia="Times New Roman" w:cs="Times New Roman"/>
          <w:color w:val="000000" w:themeColor="text1"/>
          <w:szCs w:val="24"/>
        </w:rPr>
        <w:t xml:space="preserve"> = 29.06), </w:t>
      </w:r>
      <w:proofErr w:type="gramStart"/>
      <w:r w:rsidRPr="00780987">
        <w:rPr>
          <w:rFonts w:eastAsia="Times New Roman" w:cs="Times New Roman"/>
          <w:i/>
          <w:iCs/>
          <w:color w:val="000000" w:themeColor="text1"/>
          <w:szCs w:val="24"/>
        </w:rPr>
        <w:t>t</w:t>
      </w:r>
      <w:r w:rsidRPr="00780987">
        <w:rPr>
          <w:rFonts w:eastAsia="Times New Roman" w:cs="Times New Roman"/>
          <w:color w:val="000000" w:themeColor="text1"/>
          <w:szCs w:val="24"/>
        </w:rPr>
        <w:t>(</w:t>
      </w:r>
      <w:proofErr w:type="gramEnd"/>
      <w:r w:rsidRPr="00780987">
        <w:rPr>
          <w:rFonts w:eastAsia="Times New Roman" w:cs="Times New Roman"/>
          <w:color w:val="000000" w:themeColor="text1"/>
          <w:szCs w:val="24"/>
        </w:rPr>
        <w:t xml:space="preserve">369) = 1.12, </w:t>
      </w:r>
      <w:r w:rsidRPr="00780987">
        <w:rPr>
          <w:rFonts w:eastAsia="Times New Roman" w:cs="Times New Roman"/>
          <w:i/>
          <w:iCs/>
          <w:color w:val="000000" w:themeColor="text1"/>
          <w:szCs w:val="24"/>
        </w:rPr>
        <w:t>p</w:t>
      </w:r>
      <w:r>
        <w:rPr>
          <w:rFonts w:eastAsia="Times New Roman" w:cs="Times New Roman"/>
          <w:color w:val="000000" w:themeColor="text1"/>
          <w:szCs w:val="24"/>
        </w:rPr>
        <w:t xml:space="preserve"> = .264. The same was true for Kenton:</w:t>
      </w:r>
      <w:r w:rsidRPr="00780987">
        <w:rPr>
          <w:rFonts w:eastAsia="Times New Roman" w:cs="Times New Roman"/>
          <w:color w:val="000000" w:themeColor="text1"/>
          <w:szCs w:val="24"/>
        </w:rPr>
        <w:t xml:space="preserve"> Compass </w:t>
      </w:r>
      <w:r>
        <w:rPr>
          <w:rFonts w:eastAsia="Times New Roman" w:cs="Times New Roman"/>
          <w:color w:val="000000" w:themeColor="text1"/>
          <w:szCs w:val="24"/>
        </w:rPr>
        <w:t>s</w:t>
      </w:r>
      <w:r w:rsidRPr="00780987">
        <w:rPr>
          <w:rFonts w:eastAsia="Times New Roman" w:cs="Times New Roman"/>
          <w:color w:val="000000" w:themeColor="text1"/>
          <w:szCs w:val="24"/>
        </w:rPr>
        <w:t>tudents</w:t>
      </w:r>
      <w:r>
        <w:rPr>
          <w:rFonts w:eastAsia="Times New Roman" w:cs="Times New Roman"/>
          <w:color w:val="000000" w:themeColor="text1"/>
          <w:szCs w:val="24"/>
        </w:rPr>
        <w:t>’</w:t>
      </w:r>
      <w:r w:rsidRPr="00780987">
        <w:rPr>
          <w:rFonts w:eastAsia="Times New Roman" w:cs="Times New Roman"/>
          <w:color w:val="000000" w:themeColor="text1"/>
          <w:szCs w:val="24"/>
        </w:rPr>
        <w:t xml:space="preserve"> (</w:t>
      </w:r>
      <w:r w:rsidRPr="00780987">
        <w:rPr>
          <w:rFonts w:eastAsia="Times New Roman" w:cs="Times New Roman"/>
          <w:i/>
          <w:iCs/>
          <w:color w:val="000000" w:themeColor="text1"/>
          <w:szCs w:val="24"/>
        </w:rPr>
        <w:t>M</w:t>
      </w:r>
      <w:r w:rsidRPr="00780987">
        <w:rPr>
          <w:rFonts w:eastAsia="Times New Roman" w:cs="Times New Roman"/>
          <w:color w:val="000000" w:themeColor="text1"/>
          <w:szCs w:val="24"/>
        </w:rPr>
        <w:t xml:space="preserve"> = 41.71, </w:t>
      </w:r>
      <w:r w:rsidRPr="00780987">
        <w:rPr>
          <w:rFonts w:eastAsia="Times New Roman" w:cs="Times New Roman"/>
          <w:i/>
          <w:iCs/>
          <w:color w:val="000000" w:themeColor="text1"/>
          <w:szCs w:val="24"/>
        </w:rPr>
        <w:t>SD</w:t>
      </w:r>
      <w:r w:rsidRPr="00780987">
        <w:rPr>
          <w:rFonts w:eastAsia="Times New Roman" w:cs="Times New Roman"/>
          <w:color w:val="000000" w:themeColor="text1"/>
          <w:szCs w:val="24"/>
        </w:rPr>
        <w:t xml:space="preserve"> = 27.32)</w:t>
      </w:r>
      <w:r>
        <w:rPr>
          <w:rFonts w:eastAsia="Times New Roman" w:cs="Times New Roman"/>
          <w:color w:val="000000" w:themeColor="text1"/>
          <w:szCs w:val="24"/>
        </w:rPr>
        <w:t xml:space="preserve"> growth percentiles was similar to</w:t>
      </w:r>
      <w:r w:rsidRPr="00780987">
        <w:rPr>
          <w:rFonts w:eastAsia="Times New Roman" w:cs="Times New Roman"/>
          <w:color w:val="000000" w:themeColor="text1"/>
          <w:szCs w:val="24"/>
        </w:rPr>
        <w:t xml:space="preserve"> Non-Compass </w:t>
      </w:r>
      <w:r>
        <w:rPr>
          <w:rFonts w:eastAsia="Times New Roman" w:cs="Times New Roman"/>
          <w:color w:val="000000" w:themeColor="text1"/>
          <w:szCs w:val="24"/>
        </w:rPr>
        <w:t>s</w:t>
      </w:r>
      <w:r w:rsidRPr="00780987">
        <w:rPr>
          <w:rFonts w:eastAsia="Times New Roman" w:cs="Times New Roman"/>
          <w:color w:val="000000" w:themeColor="text1"/>
          <w:szCs w:val="24"/>
        </w:rPr>
        <w:t>tudents</w:t>
      </w:r>
      <w:r>
        <w:rPr>
          <w:rFonts w:eastAsia="Times New Roman" w:cs="Times New Roman"/>
          <w:color w:val="000000" w:themeColor="text1"/>
          <w:szCs w:val="24"/>
        </w:rPr>
        <w:t>’ growth</w:t>
      </w:r>
      <w:r w:rsidRPr="00780987">
        <w:rPr>
          <w:rFonts w:eastAsia="Times New Roman" w:cs="Times New Roman"/>
          <w:color w:val="000000" w:themeColor="text1"/>
          <w:szCs w:val="24"/>
        </w:rPr>
        <w:t xml:space="preserve"> (</w:t>
      </w:r>
      <w:r w:rsidRPr="00780987">
        <w:rPr>
          <w:rFonts w:eastAsia="Times New Roman" w:cs="Times New Roman"/>
          <w:i/>
          <w:iCs/>
          <w:color w:val="000000" w:themeColor="text1"/>
          <w:szCs w:val="24"/>
        </w:rPr>
        <w:t>M</w:t>
      </w:r>
      <w:r w:rsidRPr="00780987">
        <w:rPr>
          <w:rFonts w:eastAsia="Times New Roman" w:cs="Times New Roman"/>
          <w:color w:val="000000" w:themeColor="text1"/>
          <w:szCs w:val="24"/>
        </w:rPr>
        <w:t xml:space="preserve"> = 37.76, </w:t>
      </w:r>
      <w:r w:rsidRPr="00780987">
        <w:rPr>
          <w:rFonts w:eastAsia="Times New Roman" w:cs="Times New Roman"/>
          <w:i/>
          <w:iCs/>
          <w:color w:val="000000" w:themeColor="text1"/>
          <w:szCs w:val="24"/>
        </w:rPr>
        <w:t>SD</w:t>
      </w:r>
      <w:r w:rsidRPr="00780987">
        <w:rPr>
          <w:rFonts w:eastAsia="Times New Roman" w:cs="Times New Roman"/>
          <w:color w:val="000000" w:themeColor="text1"/>
          <w:szCs w:val="24"/>
        </w:rPr>
        <w:t xml:space="preserve"> = 23.67), </w:t>
      </w:r>
      <w:proofErr w:type="gramStart"/>
      <w:r w:rsidRPr="00780987">
        <w:rPr>
          <w:rFonts w:eastAsia="Times New Roman" w:cs="Times New Roman"/>
          <w:i/>
          <w:iCs/>
          <w:color w:val="000000" w:themeColor="text1"/>
          <w:szCs w:val="24"/>
        </w:rPr>
        <w:t>t</w:t>
      </w:r>
      <w:r w:rsidRPr="00780987">
        <w:rPr>
          <w:rFonts w:eastAsia="Times New Roman" w:cs="Times New Roman"/>
          <w:color w:val="000000" w:themeColor="text1"/>
          <w:szCs w:val="24"/>
        </w:rPr>
        <w:t>(</w:t>
      </w:r>
      <w:proofErr w:type="gramEnd"/>
      <w:r w:rsidRPr="00780987">
        <w:rPr>
          <w:rFonts w:eastAsia="Times New Roman" w:cs="Times New Roman"/>
          <w:color w:val="000000" w:themeColor="text1"/>
          <w:szCs w:val="24"/>
        </w:rPr>
        <w:t xml:space="preserve">51) = 0.40, </w:t>
      </w:r>
      <w:r w:rsidRPr="00780987">
        <w:rPr>
          <w:rFonts w:eastAsia="Times New Roman" w:cs="Times New Roman"/>
          <w:i/>
          <w:iCs/>
          <w:color w:val="000000" w:themeColor="text1"/>
          <w:szCs w:val="24"/>
        </w:rPr>
        <w:t>p</w:t>
      </w:r>
      <w:r>
        <w:rPr>
          <w:rFonts w:eastAsia="Times New Roman" w:cs="Times New Roman"/>
          <w:color w:val="000000" w:themeColor="text1"/>
          <w:szCs w:val="24"/>
        </w:rPr>
        <w:t xml:space="preserve"> = .688. </w:t>
      </w:r>
    </w:p>
    <w:p w:rsidR="00780987" w:rsidRDefault="00780987" w:rsidP="00780987">
      <w:pPr>
        <w:spacing w:after="0" w:line="480" w:lineRule="auto"/>
        <w:ind w:firstLine="720"/>
        <w:rPr>
          <w:rFonts w:eastAsia="Times New Roman" w:cs="Times New Roman"/>
          <w:color w:val="000000" w:themeColor="text1"/>
          <w:szCs w:val="24"/>
        </w:rPr>
      </w:pPr>
      <w:r>
        <w:rPr>
          <w:rFonts w:eastAsia="Times New Roman" w:cs="Times New Roman"/>
          <w:color w:val="000000" w:themeColor="text1"/>
          <w:szCs w:val="24"/>
        </w:rPr>
        <w:t>Thus, regarding both achievement and growth on the Colorado Measures of Academic Success, English Language Arts assessment, students who enrolled in Compass programming for the 2018-19 school year were not statistically different from their peers who did not participate in Compass.</w:t>
      </w:r>
    </w:p>
    <w:p w:rsidR="00780987" w:rsidRPr="00780987" w:rsidRDefault="00780987" w:rsidP="00780987">
      <w:pPr>
        <w:spacing w:after="0" w:line="480" w:lineRule="auto"/>
        <w:rPr>
          <w:rFonts w:cs="Times New Roman"/>
          <w:b/>
          <w:color w:val="000000" w:themeColor="text1"/>
        </w:rPr>
      </w:pPr>
      <w:r w:rsidRPr="00780987">
        <w:rPr>
          <w:rFonts w:cs="Times New Roman"/>
          <w:b/>
          <w:color w:val="000000" w:themeColor="text1"/>
        </w:rPr>
        <w:t xml:space="preserve">Behavior and Attendance </w:t>
      </w:r>
    </w:p>
    <w:p w:rsidR="00780987" w:rsidRDefault="00780987" w:rsidP="00780987">
      <w:pPr>
        <w:spacing w:after="0" w:line="480" w:lineRule="auto"/>
        <w:rPr>
          <w:rFonts w:cs="Times New Roman"/>
          <w:color w:val="000000" w:themeColor="text1"/>
        </w:rPr>
      </w:pPr>
      <w:r>
        <w:rPr>
          <w:rFonts w:cs="Times New Roman"/>
          <w:color w:val="000000" w:themeColor="text1"/>
        </w:rPr>
        <w:tab/>
        <w:t xml:space="preserve">Behavior and attendance throughout the school year were also monitored for the two schools, and comparisons for Compass versus Non-Compass students follow. Although these data </w:t>
      </w:r>
      <w:r w:rsidR="00A973BF">
        <w:rPr>
          <w:rFonts w:cs="Times New Roman"/>
          <w:color w:val="000000" w:themeColor="text1"/>
        </w:rPr>
        <w:t>are attributed to end-of-year referral and attendance rates, it should be noted that the results cannot ascertain student-level change resultant of Compass participation. Rather, the results report on the differences noted between the two groups of students. Although one possibility is that participation in Compass programming may increase attendance rates and inhibit negative behaviors that result in disciplinary referrals, there are other possibilities that this paper cannot rule out. Nevertheless, students who participated in Compass had better attendance rates and less disciplinary referrals than their peers who were not involved in Compass programming.</w:t>
      </w:r>
    </w:p>
    <w:p w:rsidR="00A973BF" w:rsidRDefault="00A973BF" w:rsidP="00780987">
      <w:pPr>
        <w:spacing w:after="0" w:line="480" w:lineRule="auto"/>
        <w:rPr>
          <w:rFonts w:cs="Times New Roman"/>
          <w:color w:val="000000" w:themeColor="text1"/>
        </w:rPr>
      </w:pPr>
      <w:r>
        <w:rPr>
          <w:rFonts w:cs="Times New Roman"/>
          <w:color w:val="000000" w:themeColor="text1"/>
        </w:rPr>
        <w:tab/>
        <w:t>Regarding attendance rates</w:t>
      </w:r>
      <w:r w:rsidRPr="00A973BF">
        <w:rPr>
          <w:rFonts w:cs="Times New Roman"/>
          <w:color w:val="000000" w:themeColor="text1"/>
        </w:rPr>
        <w:t xml:space="preserve">, </w:t>
      </w:r>
      <w:r>
        <w:rPr>
          <w:rFonts w:cs="Times New Roman"/>
          <w:color w:val="000000" w:themeColor="text1"/>
        </w:rPr>
        <w:t>s</w:t>
      </w:r>
      <w:r w:rsidRPr="00A973BF">
        <w:rPr>
          <w:rFonts w:cs="Times New Roman"/>
          <w:color w:val="000000" w:themeColor="text1"/>
        </w:rPr>
        <w:t>tudents enrolled in Compass had slightly better (although non-significant) attendance rates (</w:t>
      </w:r>
      <w:r w:rsidRPr="00A973BF">
        <w:rPr>
          <w:rFonts w:cs="Times New Roman"/>
          <w:i/>
          <w:iCs/>
          <w:color w:val="000000" w:themeColor="text1"/>
        </w:rPr>
        <w:t xml:space="preserve">M </w:t>
      </w:r>
      <w:r w:rsidRPr="00A973BF">
        <w:rPr>
          <w:rFonts w:cs="Times New Roman"/>
          <w:color w:val="000000" w:themeColor="text1"/>
        </w:rPr>
        <w:t xml:space="preserve">= 94.97%, </w:t>
      </w:r>
      <w:r w:rsidRPr="00A973BF">
        <w:rPr>
          <w:rFonts w:cs="Times New Roman"/>
          <w:i/>
          <w:iCs/>
          <w:color w:val="000000" w:themeColor="text1"/>
        </w:rPr>
        <w:t>SD</w:t>
      </w:r>
      <w:r w:rsidRPr="00A973BF">
        <w:rPr>
          <w:rFonts w:cs="Times New Roman"/>
          <w:color w:val="000000" w:themeColor="text1"/>
        </w:rPr>
        <w:t xml:space="preserve"> = 6.79%) than students not enrolled in </w:t>
      </w:r>
      <w:r w:rsidRPr="00A973BF">
        <w:rPr>
          <w:rFonts w:cs="Times New Roman"/>
          <w:color w:val="000000" w:themeColor="text1"/>
        </w:rPr>
        <w:lastRenderedPageBreak/>
        <w:t>Compass (</w:t>
      </w:r>
      <w:r w:rsidRPr="00A973BF">
        <w:rPr>
          <w:rFonts w:cs="Times New Roman"/>
          <w:i/>
          <w:iCs/>
          <w:color w:val="000000" w:themeColor="text1"/>
        </w:rPr>
        <w:t>M</w:t>
      </w:r>
      <w:r w:rsidRPr="00A973BF">
        <w:rPr>
          <w:rFonts w:cs="Times New Roman"/>
          <w:color w:val="000000" w:themeColor="text1"/>
        </w:rPr>
        <w:t xml:space="preserve"> = 93.70%, </w:t>
      </w:r>
      <w:r w:rsidRPr="00A973BF">
        <w:rPr>
          <w:rFonts w:cs="Times New Roman"/>
          <w:i/>
          <w:iCs/>
          <w:color w:val="000000" w:themeColor="text1"/>
        </w:rPr>
        <w:t>SD</w:t>
      </w:r>
      <w:r w:rsidRPr="00A973BF">
        <w:rPr>
          <w:rFonts w:cs="Times New Roman"/>
          <w:color w:val="000000" w:themeColor="text1"/>
        </w:rPr>
        <w:t xml:space="preserve"> = 7.90%); however, students who regularly attended Compass had significantly higher att</w:t>
      </w:r>
      <w:r>
        <w:rPr>
          <w:rFonts w:cs="Times New Roman"/>
          <w:color w:val="000000" w:themeColor="text1"/>
        </w:rPr>
        <w:t>endance rates than both of the former</w:t>
      </w:r>
      <w:r w:rsidRPr="00A973BF">
        <w:rPr>
          <w:rFonts w:cs="Times New Roman"/>
          <w:color w:val="000000" w:themeColor="text1"/>
        </w:rPr>
        <w:t xml:space="preserve"> groups (</w:t>
      </w:r>
      <w:r w:rsidRPr="00A973BF">
        <w:rPr>
          <w:rFonts w:cs="Times New Roman"/>
          <w:i/>
          <w:iCs/>
          <w:color w:val="000000" w:themeColor="text1"/>
        </w:rPr>
        <w:t>M</w:t>
      </w:r>
      <w:r w:rsidRPr="00A973BF">
        <w:rPr>
          <w:rFonts w:cs="Times New Roman"/>
          <w:color w:val="000000" w:themeColor="text1"/>
        </w:rPr>
        <w:t xml:space="preserve"> = 97.47%, </w:t>
      </w:r>
      <w:r w:rsidRPr="00A973BF">
        <w:rPr>
          <w:rFonts w:cs="Times New Roman"/>
          <w:i/>
          <w:iCs/>
          <w:color w:val="000000" w:themeColor="text1"/>
        </w:rPr>
        <w:t>SD</w:t>
      </w:r>
      <w:r w:rsidRPr="00A973BF">
        <w:rPr>
          <w:rFonts w:cs="Times New Roman"/>
          <w:color w:val="000000" w:themeColor="text1"/>
        </w:rPr>
        <w:t xml:space="preserve"> = 3.87%), </w:t>
      </w:r>
      <w:proofErr w:type="gramStart"/>
      <w:r w:rsidRPr="00A973BF">
        <w:rPr>
          <w:rFonts w:cs="Times New Roman"/>
          <w:i/>
          <w:iCs/>
          <w:color w:val="000000" w:themeColor="text1"/>
        </w:rPr>
        <w:t>F</w:t>
      </w:r>
      <w:r w:rsidRPr="00A973BF">
        <w:rPr>
          <w:rFonts w:cs="Times New Roman"/>
          <w:color w:val="000000" w:themeColor="text1"/>
        </w:rPr>
        <w:t>(</w:t>
      </w:r>
      <w:proofErr w:type="gramEnd"/>
      <w:r w:rsidRPr="00A973BF">
        <w:rPr>
          <w:rFonts w:cs="Times New Roman"/>
          <w:color w:val="000000" w:themeColor="text1"/>
        </w:rPr>
        <w:t xml:space="preserve">2, 1329) = 8.88, </w:t>
      </w:r>
      <w:r w:rsidRPr="00A973BF">
        <w:rPr>
          <w:rFonts w:cs="Times New Roman"/>
          <w:i/>
          <w:iCs/>
          <w:color w:val="000000" w:themeColor="text1"/>
        </w:rPr>
        <w:t xml:space="preserve">p </w:t>
      </w:r>
      <w:r w:rsidRPr="00A973BF">
        <w:rPr>
          <w:rFonts w:cs="Times New Roman"/>
          <w:color w:val="000000" w:themeColor="text1"/>
        </w:rPr>
        <w:t>&lt; .001.</w:t>
      </w:r>
      <w:r w:rsidR="00351C63">
        <w:rPr>
          <w:rFonts w:cs="Times New Roman"/>
          <w:color w:val="000000" w:themeColor="text1"/>
        </w:rPr>
        <w:t xml:space="preserve"> Additionally, 48 of the 49 (98%) regular Compass students had an attendance rate above 85% at Kenton, and all 16 students (100%) who were regular attendees at Aurora Hills had attendance rates above 85%.</w:t>
      </w:r>
    </w:p>
    <w:p w:rsidR="001804DA" w:rsidRDefault="001804DA" w:rsidP="00780987">
      <w:pPr>
        <w:spacing w:after="0" w:line="480" w:lineRule="auto"/>
        <w:rPr>
          <w:rFonts w:cs="Times New Roman"/>
          <w:color w:val="000000" w:themeColor="text1"/>
        </w:rPr>
      </w:pPr>
    </w:p>
    <w:p w:rsidR="00056E29" w:rsidRDefault="00056E29" w:rsidP="00056E29">
      <w:pPr>
        <w:keepNext/>
        <w:spacing w:after="0" w:line="480" w:lineRule="auto"/>
      </w:pPr>
      <w:r>
        <w:rPr>
          <w:noProof/>
        </w:rPr>
        <w:drawing>
          <wp:inline distT="0" distB="0" distL="0" distR="0" wp14:anchorId="284B9A1F" wp14:editId="77647272">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6E29" w:rsidRPr="00056E29" w:rsidRDefault="00056E29" w:rsidP="00056E29">
      <w:pPr>
        <w:pStyle w:val="Caption"/>
        <w:rPr>
          <w:rFonts w:cs="Times New Roman"/>
          <w:color w:val="000000" w:themeColor="text1"/>
          <w:sz w:val="24"/>
        </w:rPr>
      </w:pPr>
      <w:r w:rsidRPr="00056E29">
        <w:rPr>
          <w:color w:val="000000" w:themeColor="text1"/>
          <w:sz w:val="24"/>
        </w:rPr>
        <w:t xml:space="preserve">Figure </w:t>
      </w:r>
      <w:r w:rsidRPr="00056E29">
        <w:rPr>
          <w:color w:val="000000" w:themeColor="text1"/>
          <w:sz w:val="24"/>
        </w:rPr>
        <w:fldChar w:fldCharType="begin"/>
      </w:r>
      <w:r w:rsidRPr="00056E29">
        <w:rPr>
          <w:color w:val="000000" w:themeColor="text1"/>
          <w:sz w:val="24"/>
        </w:rPr>
        <w:instrText xml:space="preserve"> SEQ Figure \* ARABIC </w:instrText>
      </w:r>
      <w:r w:rsidRPr="00056E29">
        <w:rPr>
          <w:color w:val="000000" w:themeColor="text1"/>
          <w:sz w:val="24"/>
        </w:rPr>
        <w:fldChar w:fldCharType="separate"/>
      </w:r>
      <w:r w:rsidR="0041444F">
        <w:rPr>
          <w:noProof/>
          <w:color w:val="000000" w:themeColor="text1"/>
          <w:sz w:val="24"/>
        </w:rPr>
        <w:t>2</w:t>
      </w:r>
      <w:r w:rsidRPr="00056E29">
        <w:rPr>
          <w:color w:val="000000" w:themeColor="text1"/>
          <w:sz w:val="24"/>
        </w:rPr>
        <w:fldChar w:fldCharType="end"/>
      </w:r>
      <w:r w:rsidRPr="00056E29">
        <w:rPr>
          <w:color w:val="000000" w:themeColor="text1"/>
          <w:sz w:val="24"/>
        </w:rPr>
        <w:t xml:space="preserve">. </w:t>
      </w:r>
      <w:r w:rsidRPr="00056E29">
        <w:rPr>
          <w:i w:val="0"/>
          <w:color w:val="000000" w:themeColor="text1"/>
          <w:sz w:val="24"/>
        </w:rPr>
        <w:t>Attendance rates by Compass enrollment type and school.</w:t>
      </w:r>
    </w:p>
    <w:p w:rsidR="001804DA" w:rsidRDefault="001804DA" w:rsidP="00DE6654">
      <w:pPr>
        <w:pStyle w:val="NormalWeb"/>
        <w:spacing w:before="0" w:beforeAutospacing="0" w:after="0" w:afterAutospacing="0" w:line="480" w:lineRule="auto"/>
        <w:rPr>
          <w:color w:val="000000" w:themeColor="text1"/>
        </w:rPr>
      </w:pPr>
    </w:p>
    <w:p w:rsidR="00A973BF" w:rsidRDefault="00A973BF" w:rsidP="00DE6654">
      <w:pPr>
        <w:pStyle w:val="NormalWeb"/>
        <w:spacing w:before="0" w:beforeAutospacing="0" w:after="0" w:afterAutospacing="0" w:line="480" w:lineRule="auto"/>
        <w:rPr>
          <w:color w:val="000000" w:themeColor="text1"/>
        </w:rPr>
      </w:pPr>
      <w:r>
        <w:rPr>
          <w:color w:val="000000" w:themeColor="text1"/>
        </w:rPr>
        <w:tab/>
        <w:t>Regarding behavior</w:t>
      </w:r>
      <w:r w:rsidR="00056E29">
        <w:rPr>
          <w:color w:val="000000" w:themeColor="text1"/>
        </w:rPr>
        <w:t xml:space="preserve"> (see Figure 2)</w:t>
      </w:r>
      <w:r w:rsidRPr="00A973BF">
        <w:rPr>
          <w:color w:val="000000" w:themeColor="text1"/>
        </w:rPr>
        <w:t xml:space="preserve">, </w:t>
      </w:r>
      <w:r>
        <w:rPr>
          <w:bCs/>
          <w:color w:val="000000" w:themeColor="text1"/>
        </w:rPr>
        <w:t>o</w:t>
      </w:r>
      <w:r w:rsidRPr="00A973BF">
        <w:rPr>
          <w:bCs/>
          <w:color w:val="000000" w:themeColor="text1"/>
        </w:rPr>
        <w:t>verall</w:t>
      </w:r>
      <w:r>
        <w:rPr>
          <w:bCs/>
          <w:color w:val="000000" w:themeColor="text1"/>
        </w:rPr>
        <w:t>, zero</w:t>
      </w:r>
      <w:r w:rsidRPr="00A973BF">
        <w:rPr>
          <w:color w:val="000000" w:themeColor="text1"/>
        </w:rPr>
        <w:t xml:space="preserve"> students who were regular Compass attendees had behavioral referrals</w:t>
      </w:r>
      <w:r w:rsidR="00DE6654">
        <w:rPr>
          <w:color w:val="000000" w:themeColor="text1"/>
        </w:rPr>
        <w:t xml:space="preserve"> (percentages = total number of referrals for a group / total number of students in the group)</w:t>
      </w:r>
      <w:r w:rsidRPr="00A973BF">
        <w:rPr>
          <w:color w:val="000000" w:themeColor="text1"/>
        </w:rPr>
        <w:t xml:space="preserve">. For students who attended Compass programming, but not regularly, the percentage </w:t>
      </w:r>
      <w:r w:rsidR="00DE6654">
        <w:rPr>
          <w:color w:val="000000" w:themeColor="text1"/>
        </w:rPr>
        <w:t xml:space="preserve">of </w:t>
      </w:r>
      <w:r w:rsidRPr="00A973BF">
        <w:rPr>
          <w:color w:val="000000" w:themeColor="text1"/>
        </w:rPr>
        <w:t>behavioral referrals increased to about 14%</w:t>
      </w:r>
      <w:r w:rsidR="0041444F">
        <w:rPr>
          <w:color w:val="000000" w:themeColor="text1"/>
        </w:rPr>
        <w:t xml:space="preserve"> --</w:t>
      </w:r>
      <w:r w:rsidRPr="00A973BF">
        <w:rPr>
          <w:color w:val="000000" w:themeColor="text1"/>
        </w:rPr>
        <w:t xml:space="preserve"> this is in comparison to the percentage </w:t>
      </w:r>
      <w:r w:rsidR="00DE6654">
        <w:rPr>
          <w:color w:val="000000" w:themeColor="text1"/>
        </w:rPr>
        <w:t>of referrals for students</w:t>
      </w:r>
      <w:r w:rsidRPr="00A973BF">
        <w:rPr>
          <w:color w:val="000000" w:themeColor="text1"/>
        </w:rPr>
        <w:t xml:space="preserve"> not involved in Compass (23%).</w:t>
      </w:r>
      <w:r w:rsidR="00DE6654">
        <w:rPr>
          <w:color w:val="000000" w:themeColor="text1"/>
        </w:rPr>
        <w:t xml:space="preserve"> Specifically, at Aurora Hills, n</w:t>
      </w:r>
      <w:r w:rsidRPr="00A973BF">
        <w:rPr>
          <w:color w:val="000000" w:themeColor="text1"/>
        </w:rPr>
        <w:t xml:space="preserve">o students who regularly attended Compass programming had behavioral referrals. The </w:t>
      </w:r>
      <w:r w:rsidRPr="00A973BF">
        <w:rPr>
          <w:color w:val="000000" w:themeColor="text1"/>
        </w:rPr>
        <w:lastRenderedPageBreak/>
        <w:t xml:space="preserve">percentage increased to 17% regarding students who attended Compass programming (but not regularly), and the </w:t>
      </w:r>
      <w:r w:rsidR="00DE6654">
        <w:rPr>
          <w:color w:val="000000" w:themeColor="text1"/>
        </w:rPr>
        <w:t>percentage of referrals</w:t>
      </w:r>
      <w:r w:rsidRPr="00A973BF">
        <w:rPr>
          <w:color w:val="000000" w:themeColor="text1"/>
        </w:rPr>
        <w:t xml:space="preserve"> </w:t>
      </w:r>
      <w:r w:rsidR="00DE6654">
        <w:rPr>
          <w:color w:val="000000" w:themeColor="text1"/>
        </w:rPr>
        <w:t xml:space="preserve">at Aurora Hills for students </w:t>
      </w:r>
      <w:r w:rsidRPr="00A973BF">
        <w:rPr>
          <w:color w:val="000000" w:themeColor="text1"/>
        </w:rPr>
        <w:t>not involved in Compass was 33%.</w:t>
      </w:r>
      <w:r w:rsidR="00DE6654">
        <w:rPr>
          <w:color w:val="000000" w:themeColor="text1"/>
        </w:rPr>
        <w:t xml:space="preserve"> At Kenton, again, n</w:t>
      </w:r>
      <w:r w:rsidRPr="00A973BF">
        <w:rPr>
          <w:color w:val="000000" w:themeColor="text1"/>
        </w:rPr>
        <w:t xml:space="preserve">o students who regularly attended Compass programming had behavioral referrals. The percentage increased to 5% regarding students who attended Compass programming (but not regularly), and the </w:t>
      </w:r>
      <w:r w:rsidR="00DE6654">
        <w:rPr>
          <w:color w:val="000000" w:themeColor="text1"/>
        </w:rPr>
        <w:t>percentage</w:t>
      </w:r>
      <w:r w:rsidRPr="00A973BF">
        <w:rPr>
          <w:color w:val="000000" w:themeColor="text1"/>
        </w:rPr>
        <w:t xml:space="preserve"> of </w:t>
      </w:r>
      <w:r w:rsidR="00DE6654">
        <w:rPr>
          <w:color w:val="000000" w:themeColor="text1"/>
        </w:rPr>
        <w:t>referrals for students</w:t>
      </w:r>
      <w:r w:rsidRPr="00A973BF">
        <w:rPr>
          <w:color w:val="000000" w:themeColor="text1"/>
        </w:rPr>
        <w:t xml:space="preserve"> not involved in Compass was 8%.</w:t>
      </w:r>
    </w:p>
    <w:p w:rsidR="001804DA" w:rsidRDefault="001804DA" w:rsidP="00DE6654">
      <w:pPr>
        <w:pStyle w:val="NormalWeb"/>
        <w:spacing w:before="0" w:beforeAutospacing="0" w:after="0" w:afterAutospacing="0" w:line="480" w:lineRule="auto"/>
        <w:rPr>
          <w:color w:val="000000" w:themeColor="text1"/>
        </w:rPr>
      </w:pPr>
    </w:p>
    <w:p w:rsidR="00DE6654" w:rsidRDefault="00DE6654" w:rsidP="00DE6654">
      <w:pPr>
        <w:pStyle w:val="NormalWeb"/>
        <w:keepNext/>
        <w:spacing w:before="0" w:beforeAutospacing="0" w:after="0" w:afterAutospacing="0" w:line="480" w:lineRule="auto"/>
      </w:pPr>
      <w:r>
        <w:rPr>
          <w:noProof/>
        </w:rPr>
        <w:drawing>
          <wp:inline distT="0" distB="0" distL="0" distR="0" wp14:anchorId="63B41CF0" wp14:editId="0FC7047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6654" w:rsidRDefault="00DE6654" w:rsidP="00DE6654">
      <w:pPr>
        <w:pStyle w:val="Caption"/>
        <w:rPr>
          <w:i w:val="0"/>
          <w:color w:val="000000" w:themeColor="text1"/>
          <w:sz w:val="24"/>
        </w:rPr>
      </w:pPr>
      <w:r w:rsidRPr="00DE6654">
        <w:rPr>
          <w:color w:val="000000" w:themeColor="text1"/>
          <w:sz w:val="24"/>
        </w:rPr>
        <w:t xml:space="preserve">Figure </w:t>
      </w:r>
      <w:r w:rsidRPr="00DE6654">
        <w:rPr>
          <w:color w:val="000000" w:themeColor="text1"/>
          <w:sz w:val="24"/>
        </w:rPr>
        <w:fldChar w:fldCharType="begin"/>
      </w:r>
      <w:r w:rsidRPr="00DE6654">
        <w:rPr>
          <w:color w:val="000000" w:themeColor="text1"/>
          <w:sz w:val="24"/>
        </w:rPr>
        <w:instrText xml:space="preserve"> SEQ Figure \* ARABIC </w:instrText>
      </w:r>
      <w:r w:rsidRPr="00DE6654">
        <w:rPr>
          <w:color w:val="000000" w:themeColor="text1"/>
          <w:sz w:val="24"/>
        </w:rPr>
        <w:fldChar w:fldCharType="separate"/>
      </w:r>
      <w:r w:rsidR="0041444F">
        <w:rPr>
          <w:noProof/>
          <w:color w:val="000000" w:themeColor="text1"/>
          <w:sz w:val="24"/>
        </w:rPr>
        <w:t>3</w:t>
      </w:r>
      <w:r w:rsidRPr="00DE6654">
        <w:rPr>
          <w:color w:val="000000" w:themeColor="text1"/>
          <w:sz w:val="24"/>
        </w:rPr>
        <w:fldChar w:fldCharType="end"/>
      </w:r>
      <w:r w:rsidRPr="00DE6654">
        <w:rPr>
          <w:color w:val="000000" w:themeColor="text1"/>
          <w:sz w:val="24"/>
        </w:rPr>
        <w:t xml:space="preserve">. </w:t>
      </w:r>
      <w:r w:rsidRPr="00056E29">
        <w:rPr>
          <w:i w:val="0"/>
          <w:color w:val="000000" w:themeColor="text1"/>
          <w:sz w:val="24"/>
        </w:rPr>
        <w:t>Behavior referral percentages, comparing Compass enrollment types for Kenton and Aurora Hills.</w:t>
      </w:r>
    </w:p>
    <w:p w:rsidR="001804DA" w:rsidRDefault="001804DA" w:rsidP="003D75F9">
      <w:pPr>
        <w:spacing w:after="0" w:line="480" w:lineRule="auto"/>
        <w:rPr>
          <w:b/>
        </w:rPr>
      </w:pPr>
    </w:p>
    <w:p w:rsidR="00056E29" w:rsidRPr="007E222E" w:rsidRDefault="00056E29" w:rsidP="003D75F9">
      <w:pPr>
        <w:spacing w:after="0" w:line="480" w:lineRule="auto"/>
        <w:rPr>
          <w:b/>
        </w:rPr>
      </w:pPr>
      <w:r w:rsidRPr="007E222E">
        <w:rPr>
          <w:b/>
        </w:rPr>
        <w:t>Post-Participation Comparison</w:t>
      </w:r>
    </w:p>
    <w:p w:rsidR="00056E29" w:rsidRDefault="00056E29" w:rsidP="003D75F9">
      <w:pPr>
        <w:spacing w:after="0" w:line="480" w:lineRule="auto"/>
      </w:pPr>
      <w:r>
        <w:tab/>
        <w:t>2018-19 CMAS ELA achievement and growth will be compile</w:t>
      </w:r>
      <w:r w:rsidR="0041444F">
        <w:t xml:space="preserve">d </w:t>
      </w:r>
      <w:r>
        <w:t>as an addendum to this report after they are made available.</w:t>
      </w:r>
    </w:p>
    <w:p w:rsidR="001804DA" w:rsidRDefault="001804DA" w:rsidP="003D75F9">
      <w:pPr>
        <w:spacing w:after="0" w:line="480" w:lineRule="auto"/>
      </w:pPr>
    </w:p>
    <w:p w:rsidR="007E222E" w:rsidRPr="007E222E" w:rsidRDefault="007E222E" w:rsidP="003D75F9">
      <w:pPr>
        <w:spacing w:after="0" w:line="480" w:lineRule="auto"/>
        <w:rPr>
          <w:b/>
        </w:rPr>
      </w:pPr>
      <w:r w:rsidRPr="007E222E">
        <w:rPr>
          <w:b/>
        </w:rPr>
        <w:lastRenderedPageBreak/>
        <w:t>Survey Results</w:t>
      </w:r>
    </w:p>
    <w:p w:rsidR="007E222E" w:rsidRDefault="008573CF" w:rsidP="003D75F9">
      <w:pPr>
        <w:spacing w:after="0" w:line="480" w:lineRule="auto"/>
      </w:pPr>
      <w:r>
        <w:tab/>
        <w:t>Students were given the chance to complete a survey that consisted of items related to openness to other cultures (Culture subscale; 4 items) and Leadership Skills (6 items)</w:t>
      </w:r>
      <w:r w:rsidR="00E44928">
        <w:t xml:space="preserve"> – with all items anchored on a 4-point agreement Likert scale</w:t>
      </w:r>
      <w:r>
        <w:t xml:space="preserve">. In addition, the survey was slightly different for the two different schools. </w:t>
      </w:r>
      <w:r w:rsidR="0041444F">
        <w:t xml:space="preserve">Whereas </w:t>
      </w:r>
      <w:r>
        <w:t>Kenton students received a post-only survey, Aurora Hills students received a retrospective-pre / post survey</w:t>
      </w:r>
      <w:r w:rsidR="00E44928">
        <w:t xml:space="preserve"> (e.g., “Prior to </w:t>
      </w:r>
      <w:proofErr w:type="gramStart"/>
      <w:r w:rsidR="00E44928">
        <w:t>Compass, …”</w:t>
      </w:r>
      <w:proofErr w:type="gramEnd"/>
      <w:r w:rsidR="00E44928">
        <w:t xml:space="preserve"> vs. “After Compass, …”)</w:t>
      </w:r>
      <w:r>
        <w:t xml:space="preserve">. </w:t>
      </w:r>
      <w:r w:rsidR="0041444F">
        <w:t xml:space="preserve">Survey subscale and item details are shown in Figures 4 – 6) </w:t>
      </w:r>
      <w:r w:rsidR="00E44928">
        <w:t>For the Kenton students who completed the survey (</w:t>
      </w:r>
      <w:r w:rsidR="00E44928">
        <w:rPr>
          <w:i/>
        </w:rPr>
        <w:t>n</w:t>
      </w:r>
      <w:r w:rsidR="00E44928">
        <w:t xml:space="preserve"> = 22), 77% responded agreeably to the items on the Culture subscale and 72% responded agreeably to items on the Leadership Skills subscale. The most agreed-upon items for Kenton students </w:t>
      </w:r>
      <w:r w:rsidR="003043FB">
        <w:t xml:space="preserve">(per each subscale) </w:t>
      </w:r>
      <w:r w:rsidR="00E44928">
        <w:t xml:space="preserve">were: </w:t>
      </w:r>
    </w:p>
    <w:p w:rsidR="00E44928" w:rsidRDefault="00E44928" w:rsidP="00E44928">
      <w:pPr>
        <w:pStyle w:val="ListParagraph"/>
        <w:numPr>
          <w:ilvl w:val="0"/>
          <w:numId w:val="3"/>
        </w:numPr>
        <w:spacing w:after="0" w:line="480" w:lineRule="auto"/>
      </w:pPr>
      <w:r>
        <w:t>“Compass helped me to be friends with others who look or act different than me.” (Culture subscale; 95% agreement rate)</w:t>
      </w:r>
    </w:p>
    <w:p w:rsidR="00E44928" w:rsidRDefault="00E44928" w:rsidP="00E44928">
      <w:pPr>
        <w:pStyle w:val="ListParagraph"/>
        <w:numPr>
          <w:ilvl w:val="0"/>
          <w:numId w:val="3"/>
        </w:numPr>
        <w:spacing w:after="0" w:line="480" w:lineRule="auto"/>
      </w:pPr>
      <w:r>
        <w:t>“Compass helped me to think before I act” (Leadership Skills subscale; 80% agreement rate)</w:t>
      </w:r>
    </w:p>
    <w:p w:rsidR="00E44928" w:rsidRDefault="003043FB" w:rsidP="00E44928">
      <w:pPr>
        <w:spacing w:after="0" w:line="480" w:lineRule="auto"/>
      </w:pPr>
      <w:r>
        <w:t>For Aurora Hills students who completed the survey (</w:t>
      </w:r>
      <w:r>
        <w:rPr>
          <w:i/>
        </w:rPr>
        <w:t>n</w:t>
      </w:r>
      <w:r>
        <w:t xml:space="preserve"> = 11), the rate of agreement slightly increased, comparing retrospective pre items to the post items on the Culture subscale – from 68% to 70% agreement. However, for the Leadership Skills subscale, the agreement rate decreased from 52% to 43%. Nevertheless, the most agreed-upon post items per each subscale for Aurora Hills students were:</w:t>
      </w:r>
    </w:p>
    <w:p w:rsidR="003043FB" w:rsidRDefault="003043FB" w:rsidP="003043FB">
      <w:pPr>
        <w:pStyle w:val="ListParagraph"/>
        <w:numPr>
          <w:ilvl w:val="0"/>
          <w:numId w:val="4"/>
        </w:numPr>
        <w:spacing w:after="0" w:line="480" w:lineRule="auto"/>
      </w:pPr>
      <w:r>
        <w:t>“After Compass, I like to be friends with others who look or act different than me.” (Culture subscale; 78% agreement rate)</w:t>
      </w:r>
    </w:p>
    <w:p w:rsidR="0041444F" w:rsidRDefault="003043FB" w:rsidP="00D75D9F">
      <w:pPr>
        <w:pStyle w:val="ListParagraph"/>
        <w:numPr>
          <w:ilvl w:val="0"/>
          <w:numId w:val="4"/>
        </w:numPr>
        <w:spacing w:after="0" w:line="480" w:lineRule="auto"/>
      </w:pPr>
      <w:r>
        <w:t>“After Compass, I am able to easily talk about my ideas with others.” (Leadership Skills subscale; 67% agreement rate)</w:t>
      </w:r>
    </w:p>
    <w:p w:rsidR="0041444F" w:rsidRDefault="003043FB" w:rsidP="0041444F">
      <w:pPr>
        <w:keepNext/>
        <w:spacing w:after="0" w:line="480" w:lineRule="auto"/>
      </w:pPr>
      <w:r>
        <w:rPr>
          <w:b/>
          <w:noProof/>
        </w:rPr>
        <w:lastRenderedPageBreak/>
        <w:drawing>
          <wp:inline distT="0" distB="0" distL="0" distR="0">
            <wp:extent cx="5943600" cy="242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 1.PNG"/>
                    <pic:cNvPicPr/>
                  </pic:nvPicPr>
                  <pic:blipFill>
                    <a:blip r:embed="rId11">
                      <a:extLst>
                        <a:ext uri="{28A0092B-C50C-407E-A947-70E740481C1C}">
                          <a14:useLocalDpi xmlns:a14="http://schemas.microsoft.com/office/drawing/2010/main" val="0"/>
                        </a:ext>
                      </a:extLst>
                    </a:blip>
                    <a:stretch>
                      <a:fillRect/>
                    </a:stretch>
                  </pic:blipFill>
                  <pic:spPr>
                    <a:xfrm>
                      <a:off x="0" y="0"/>
                      <a:ext cx="5944298" cy="2428175"/>
                    </a:xfrm>
                    <a:prstGeom prst="rect">
                      <a:avLst/>
                    </a:prstGeom>
                  </pic:spPr>
                </pic:pic>
              </a:graphicData>
            </a:graphic>
          </wp:inline>
        </w:drawing>
      </w:r>
    </w:p>
    <w:p w:rsidR="0041444F" w:rsidRPr="00B311F1" w:rsidRDefault="0041444F" w:rsidP="00B311F1">
      <w:pPr>
        <w:pStyle w:val="Caption"/>
        <w:rPr>
          <w:i w:val="0"/>
          <w:noProof/>
          <w:color w:val="000000" w:themeColor="text1"/>
          <w:sz w:val="24"/>
        </w:rPr>
      </w:pPr>
      <w:r w:rsidRPr="0041444F">
        <w:rPr>
          <w:color w:val="000000" w:themeColor="text1"/>
          <w:sz w:val="24"/>
        </w:rPr>
        <w:t xml:space="preserve">Figure </w:t>
      </w:r>
      <w:r w:rsidRPr="0041444F">
        <w:rPr>
          <w:color w:val="000000" w:themeColor="text1"/>
          <w:sz w:val="24"/>
        </w:rPr>
        <w:fldChar w:fldCharType="begin"/>
      </w:r>
      <w:r w:rsidRPr="0041444F">
        <w:rPr>
          <w:color w:val="000000" w:themeColor="text1"/>
          <w:sz w:val="24"/>
        </w:rPr>
        <w:instrText xml:space="preserve"> SEQ Figure \* ARABIC </w:instrText>
      </w:r>
      <w:r w:rsidRPr="0041444F">
        <w:rPr>
          <w:color w:val="000000" w:themeColor="text1"/>
          <w:sz w:val="24"/>
        </w:rPr>
        <w:fldChar w:fldCharType="separate"/>
      </w:r>
      <w:r>
        <w:rPr>
          <w:noProof/>
          <w:color w:val="000000" w:themeColor="text1"/>
          <w:sz w:val="24"/>
        </w:rPr>
        <w:t>4</w:t>
      </w:r>
      <w:r w:rsidRPr="0041444F">
        <w:rPr>
          <w:color w:val="000000" w:themeColor="text1"/>
          <w:sz w:val="24"/>
        </w:rPr>
        <w:fldChar w:fldCharType="end"/>
      </w:r>
      <w:r w:rsidRPr="0041444F">
        <w:rPr>
          <w:color w:val="000000" w:themeColor="text1"/>
          <w:sz w:val="24"/>
        </w:rPr>
        <w:t>.</w:t>
      </w:r>
      <w:r w:rsidRPr="0041444F">
        <w:rPr>
          <w:i w:val="0"/>
          <w:color w:val="000000" w:themeColor="text1"/>
          <w:sz w:val="24"/>
        </w:rPr>
        <w:t xml:space="preserve"> Overall agreement rates on Culture and Leadership Skills subscales for Kenton and Aurora Hills</w:t>
      </w:r>
      <w:r w:rsidRPr="0041444F">
        <w:rPr>
          <w:i w:val="0"/>
          <w:noProof/>
          <w:color w:val="000000" w:themeColor="text1"/>
          <w:sz w:val="24"/>
        </w:rPr>
        <w:t>.</w:t>
      </w:r>
    </w:p>
    <w:p w:rsidR="0041444F" w:rsidRDefault="003043FB" w:rsidP="0041444F">
      <w:pPr>
        <w:keepNext/>
        <w:spacing w:after="0" w:line="240" w:lineRule="auto"/>
      </w:pPr>
      <w:r>
        <w:rPr>
          <w:b/>
          <w:noProof/>
        </w:rPr>
        <w:drawing>
          <wp:inline distT="0" distB="0" distL="0" distR="0">
            <wp:extent cx="5943600" cy="16396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rvey 2.PNG"/>
                    <pic:cNvPicPr/>
                  </pic:nvPicPr>
                  <pic:blipFill rotWithShape="1">
                    <a:blip r:embed="rId12">
                      <a:extLst>
                        <a:ext uri="{28A0092B-C50C-407E-A947-70E740481C1C}">
                          <a14:useLocalDpi xmlns:a14="http://schemas.microsoft.com/office/drawing/2010/main" val="0"/>
                        </a:ext>
                      </a:extLst>
                    </a:blip>
                    <a:srcRect b="16166"/>
                    <a:stretch/>
                  </pic:blipFill>
                  <pic:spPr bwMode="auto">
                    <a:xfrm>
                      <a:off x="0" y="0"/>
                      <a:ext cx="5943600" cy="1639614"/>
                    </a:xfrm>
                    <a:prstGeom prst="rect">
                      <a:avLst/>
                    </a:prstGeom>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extent cx="5943600" cy="182586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vey 3.PNG"/>
                    <pic:cNvPicPr/>
                  </pic:nvPicPr>
                  <pic:blipFill rotWithShape="1">
                    <a:blip r:embed="rId13">
                      <a:extLst>
                        <a:ext uri="{28A0092B-C50C-407E-A947-70E740481C1C}">
                          <a14:useLocalDpi xmlns:a14="http://schemas.microsoft.com/office/drawing/2010/main" val="0"/>
                        </a:ext>
                      </a:extLst>
                    </a:blip>
                    <a:srcRect t="6462"/>
                    <a:stretch/>
                  </pic:blipFill>
                  <pic:spPr bwMode="auto">
                    <a:xfrm>
                      <a:off x="0" y="0"/>
                      <a:ext cx="5943600" cy="1825866"/>
                    </a:xfrm>
                    <a:prstGeom prst="rect">
                      <a:avLst/>
                    </a:prstGeom>
                    <a:ln>
                      <a:noFill/>
                    </a:ln>
                    <a:extLst>
                      <a:ext uri="{53640926-AAD7-44D8-BBD7-CCE9431645EC}">
                        <a14:shadowObscured xmlns:a14="http://schemas.microsoft.com/office/drawing/2010/main"/>
                      </a:ext>
                    </a:extLst>
                  </pic:spPr>
                </pic:pic>
              </a:graphicData>
            </a:graphic>
          </wp:inline>
        </w:drawing>
      </w:r>
    </w:p>
    <w:p w:rsidR="0041444F" w:rsidRPr="0041444F" w:rsidRDefault="0041444F" w:rsidP="0041444F">
      <w:pPr>
        <w:pStyle w:val="Caption"/>
        <w:rPr>
          <w:color w:val="000000" w:themeColor="text1"/>
          <w:sz w:val="24"/>
        </w:rPr>
      </w:pPr>
      <w:r w:rsidRPr="0041444F">
        <w:rPr>
          <w:color w:val="000000" w:themeColor="text1"/>
          <w:sz w:val="24"/>
        </w:rPr>
        <w:t xml:space="preserve">Figure </w:t>
      </w:r>
      <w:r w:rsidRPr="0041444F">
        <w:rPr>
          <w:color w:val="000000" w:themeColor="text1"/>
          <w:sz w:val="24"/>
        </w:rPr>
        <w:fldChar w:fldCharType="begin"/>
      </w:r>
      <w:r w:rsidRPr="0041444F">
        <w:rPr>
          <w:color w:val="000000" w:themeColor="text1"/>
          <w:sz w:val="24"/>
        </w:rPr>
        <w:instrText xml:space="preserve"> SEQ Figure \* ARABIC </w:instrText>
      </w:r>
      <w:r w:rsidRPr="0041444F">
        <w:rPr>
          <w:color w:val="000000" w:themeColor="text1"/>
          <w:sz w:val="24"/>
        </w:rPr>
        <w:fldChar w:fldCharType="separate"/>
      </w:r>
      <w:r>
        <w:rPr>
          <w:noProof/>
          <w:color w:val="000000" w:themeColor="text1"/>
          <w:sz w:val="24"/>
        </w:rPr>
        <w:t>5</w:t>
      </w:r>
      <w:r w:rsidRPr="0041444F">
        <w:rPr>
          <w:color w:val="000000" w:themeColor="text1"/>
          <w:sz w:val="24"/>
        </w:rPr>
        <w:fldChar w:fldCharType="end"/>
      </w:r>
      <w:r w:rsidRPr="0041444F">
        <w:rPr>
          <w:color w:val="000000" w:themeColor="text1"/>
          <w:sz w:val="24"/>
        </w:rPr>
        <w:t xml:space="preserve">. </w:t>
      </w:r>
      <w:r w:rsidRPr="0041444F">
        <w:rPr>
          <w:i w:val="0"/>
          <w:color w:val="000000" w:themeColor="text1"/>
          <w:sz w:val="24"/>
        </w:rPr>
        <w:t xml:space="preserve">Survey item agreement rates for </w:t>
      </w:r>
      <w:proofErr w:type="gramStart"/>
      <w:r w:rsidRPr="0041444F">
        <w:rPr>
          <w:i w:val="0"/>
          <w:color w:val="000000" w:themeColor="text1"/>
          <w:sz w:val="24"/>
        </w:rPr>
        <w:t>Aurora Hills</w:t>
      </w:r>
      <w:proofErr w:type="gramEnd"/>
      <w:r w:rsidRPr="0041444F">
        <w:rPr>
          <w:i w:val="0"/>
          <w:color w:val="000000" w:themeColor="text1"/>
          <w:sz w:val="24"/>
        </w:rPr>
        <w:t xml:space="preserve"> student survey.</w:t>
      </w:r>
    </w:p>
    <w:p w:rsidR="0041444F" w:rsidRDefault="003043FB" w:rsidP="0041444F">
      <w:pPr>
        <w:keepNext/>
        <w:spacing w:after="0" w:line="240" w:lineRule="auto"/>
      </w:pPr>
      <w:r>
        <w:rPr>
          <w:b/>
          <w:noProof/>
        </w:rPr>
        <w:lastRenderedPageBreak/>
        <w:drawing>
          <wp:inline distT="0" distB="0" distL="0" distR="0">
            <wp:extent cx="5943600" cy="1639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rvey 4.PNG"/>
                    <pic:cNvPicPr/>
                  </pic:nvPicPr>
                  <pic:blipFill rotWithShape="1">
                    <a:blip r:embed="rId14">
                      <a:extLst>
                        <a:ext uri="{28A0092B-C50C-407E-A947-70E740481C1C}">
                          <a14:useLocalDpi xmlns:a14="http://schemas.microsoft.com/office/drawing/2010/main" val="0"/>
                        </a:ext>
                      </a:extLst>
                    </a:blip>
                    <a:srcRect b="15582"/>
                    <a:stretch/>
                  </pic:blipFill>
                  <pic:spPr bwMode="auto">
                    <a:xfrm>
                      <a:off x="0" y="0"/>
                      <a:ext cx="5943600" cy="1639790"/>
                    </a:xfrm>
                    <a:prstGeom prst="rect">
                      <a:avLst/>
                    </a:prstGeom>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extent cx="5943600" cy="18179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rvey 5.PNG"/>
                    <pic:cNvPicPr/>
                  </pic:nvPicPr>
                  <pic:blipFill rotWithShape="1">
                    <a:blip r:embed="rId15">
                      <a:extLst>
                        <a:ext uri="{28A0092B-C50C-407E-A947-70E740481C1C}">
                          <a14:useLocalDpi xmlns:a14="http://schemas.microsoft.com/office/drawing/2010/main" val="0"/>
                        </a:ext>
                      </a:extLst>
                    </a:blip>
                    <a:srcRect t="6318"/>
                    <a:stretch/>
                  </pic:blipFill>
                  <pic:spPr bwMode="auto">
                    <a:xfrm>
                      <a:off x="0" y="0"/>
                      <a:ext cx="5943600" cy="1817959"/>
                    </a:xfrm>
                    <a:prstGeom prst="rect">
                      <a:avLst/>
                    </a:prstGeom>
                    <a:ln>
                      <a:noFill/>
                    </a:ln>
                    <a:extLst>
                      <a:ext uri="{53640926-AAD7-44D8-BBD7-CCE9431645EC}">
                        <a14:shadowObscured xmlns:a14="http://schemas.microsoft.com/office/drawing/2010/main"/>
                      </a:ext>
                    </a:extLst>
                  </pic:spPr>
                </pic:pic>
              </a:graphicData>
            </a:graphic>
          </wp:inline>
        </w:drawing>
      </w:r>
    </w:p>
    <w:p w:rsidR="002D4FFA" w:rsidRPr="0041444F" w:rsidRDefault="0041444F" w:rsidP="0041444F">
      <w:pPr>
        <w:pStyle w:val="Caption"/>
        <w:rPr>
          <w:b/>
          <w:color w:val="000000" w:themeColor="text1"/>
          <w:sz w:val="24"/>
        </w:rPr>
      </w:pPr>
      <w:r w:rsidRPr="0041444F">
        <w:rPr>
          <w:color w:val="000000" w:themeColor="text1"/>
          <w:sz w:val="24"/>
        </w:rPr>
        <w:t xml:space="preserve">Figure </w:t>
      </w:r>
      <w:r w:rsidRPr="0041444F">
        <w:rPr>
          <w:color w:val="000000" w:themeColor="text1"/>
          <w:sz w:val="24"/>
        </w:rPr>
        <w:fldChar w:fldCharType="begin"/>
      </w:r>
      <w:r w:rsidRPr="0041444F">
        <w:rPr>
          <w:color w:val="000000" w:themeColor="text1"/>
          <w:sz w:val="24"/>
        </w:rPr>
        <w:instrText xml:space="preserve"> SEQ Figure \* ARABIC </w:instrText>
      </w:r>
      <w:r w:rsidRPr="0041444F">
        <w:rPr>
          <w:color w:val="000000" w:themeColor="text1"/>
          <w:sz w:val="24"/>
        </w:rPr>
        <w:fldChar w:fldCharType="separate"/>
      </w:r>
      <w:r w:rsidRPr="0041444F">
        <w:rPr>
          <w:noProof/>
          <w:color w:val="000000" w:themeColor="text1"/>
          <w:sz w:val="24"/>
        </w:rPr>
        <w:t>6</w:t>
      </w:r>
      <w:r w:rsidRPr="0041444F">
        <w:rPr>
          <w:color w:val="000000" w:themeColor="text1"/>
          <w:sz w:val="24"/>
        </w:rPr>
        <w:fldChar w:fldCharType="end"/>
      </w:r>
      <w:r w:rsidRPr="0041444F">
        <w:rPr>
          <w:color w:val="000000" w:themeColor="text1"/>
          <w:sz w:val="24"/>
        </w:rPr>
        <w:t xml:space="preserve">. </w:t>
      </w:r>
      <w:r>
        <w:rPr>
          <w:i w:val="0"/>
          <w:color w:val="000000" w:themeColor="text1"/>
          <w:sz w:val="24"/>
        </w:rPr>
        <w:t>Survey i</w:t>
      </w:r>
      <w:r w:rsidRPr="0041444F">
        <w:rPr>
          <w:i w:val="0"/>
          <w:color w:val="000000" w:themeColor="text1"/>
          <w:sz w:val="24"/>
        </w:rPr>
        <w:t>tem agreement rates for Kenton student survey.</w:t>
      </w:r>
    </w:p>
    <w:p w:rsidR="002D4FFA" w:rsidRDefault="002D4FFA" w:rsidP="003D75F9">
      <w:pPr>
        <w:spacing w:after="0" w:line="480" w:lineRule="auto"/>
        <w:rPr>
          <w:b/>
        </w:rPr>
      </w:pPr>
    </w:p>
    <w:p w:rsidR="007E222E" w:rsidRPr="007E222E" w:rsidRDefault="007E222E" w:rsidP="003D75F9">
      <w:pPr>
        <w:spacing w:after="0" w:line="480" w:lineRule="auto"/>
        <w:rPr>
          <w:b/>
        </w:rPr>
      </w:pPr>
      <w:r w:rsidRPr="007E222E">
        <w:rPr>
          <w:b/>
        </w:rPr>
        <w:t>Interview Results</w:t>
      </w:r>
    </w:p>
    <w:p w:rsidR="007E222E" w:rsidRDefault="003D75F9" w:rsidP="003D75F9">
      <w:pPr>
        <w:spacing w:after="0" w:line="480" w:lineRule="auto"/>
      </w:pPr>
      <w:r>
        <w:tab/>
        <w:t>We conducted a focus interview toward the end of the school year with regular attendees at Aurora Hills to garner additional insight into the program. Specifically, we asked six questions:</w:t>
      </w:r>
    </w:p>
    <w:p w:rsidR="003D75F9" w:rsidRDefault="003D75F9" w:rsidP="003D75F9">
      <w:pPr>
        <w:pStyle w:val="ListParagraph"/>
        <w:numPr>
          <w:ilvl w:val="0"/>
          <w:numId w:val="1"/>
        </w:numPr>
        <w:spacing w:after="0" w:line="480" w:lineRule="auto"/>
      </w:pPr>
      <w:r>
        <w:t>Why did you first get involved in Compass?</w:t>
      </w:r>
    </w:p>
    <w:p w:rsidR="003D75F9" w:rsidRDefault="003D75F9" w:rsidP="003D75F9">
      <w:pPr>
        <w:pStyle w:val="Footer"/>
        <w:numPr>
          <w:ilvl w:val="0"/>
          <w:numId w:val="1"/>
        </w:numPr>
        <w:spacing w:line="480" w:lineRule="auto"/>
      </w:pPr>
      <w:r>
        <w:t>How has Compass helped you academically?</w:t>
      </w:r>
    </w:p>
    <w:p w:rsidR="007E222E" w:rsidRDefault="003D75F9" w:rsidP="003D75F9">
      <w:pPr>
        <w:pStyle w:val="Footer"/>
        <w:numPr>
          <w:ilvl w:val="0"/>
          <w:numId w:val="1"/>
        </w:numPr>
        <w:tabs>
          <w:tab w:val="clear" w:pos="4680"/>
          <w:tab w:val="clear" w:pos="9360"/>
        </w:tabs>
        <w:spacing w:line="480" w:lineRule="auto"/>
      </w:pPr>
      <w:r>
        <w:t>Has Compass helped you become more motivated to learn? Why or why not?</w:t>
      </w:r>
    </w:p>
    <w:p w:rsidR="003D75F9" w:rsidRDefault="003D75F9" w:rsidP="003D75F9">
      <w:pPr>
        <w:pStyle w:val="Footer"/>
        <w:numPr>
          <w:ilvl w:val="0"/>
          <w:numId w:val="1"/>
        </w:numPr>
        <w:tabs>
          <w:tab w:val="clear" w:pos="4680"/>
          <w:tab w:val="clear" w:pos="9360"/>
        </w:tabs>
        <w:spacing w:line="480" w:lineRule="auto"/>
      </w:pPr>
      <w:r>
        <w:t>What else has your involvement in Compass helped you with?</w:t>
      </w:r>
    </w:p>
    <w:p w:rsidR="003D75F9" w:rsidRDefault="003D75F9" w:rsidP="003D75F9">
      <w:pPr>
        <w:pStyle w:val="Footer"/>
        <w:numPr>
          <w:ilvl w:val="0"/>
          <w:numId w:val="1"/>
        </w:numPr>
        <w:tabs>
          <w:tab w:val="clear" w:pos="4680"/>
          <w:tab w:val="clear" w:pos="9360"/>
        </w:tabs>
        <w:spacing w:line="480" w:lineRule="auto"/>
      </w:pPr>
      <w:r>
        <w:t>What else do you think Compass should help you with, but currently does not (or does little)?</w:t>
      </w:r>
    </w:p>
    <w:p w:rsidR="003D75F9" w:rsidRDefault="003D75F9" w:rsidP="003D75F9">
      <w:pPr>
        <w:pStyle w:val="Footer"/>
        <w:numPr>
          <w:ilvl w:val="0"/>
          <w:numId w:val="1"/>
        </w:numPr>
        <w:tabs>
          <w:tab w:val="clear" w:pos="4680"/>
          <w:tab w:val="clear" w:pos="9360"/>
        </w:tabs>
        <w:spacing w:line="480" w:lineRule="auto"/>
      </w:pPr>
      <w:r>
        <w:t>Please let us know if there is anything else you would like to say about the Compass Program.</w:t>
      </w:r>
    </w:p>
    <w:p w:rsidR="00F666E5" w:rsidRDefault="00F666E5" w:rsidP="00F666E5">
      <w:pPr>
        <w:pStyle w:val="Footer"/>
        <w:tabs>
          <w:tab w:val="clear" w:pos="4680"/>
          <w:tab w:val="clear" w:pos="9360"/>
        </w:tabs>
        <w:spacing w:line="480" w:lineRule="auto"/>
      </w:pPr>
      <w:r>
        <w:lastRenderedPageBreak/>
        <w:t>In general, students said that they became involved in Compass because they either thought it would be fun and/or help their academics. For the second question, students noted that the program has helped their math, English, and social studies skills, and it has improved their attendance. Students also reported that the program has helped them to finish their work, become more attentive, and meet new teachers. Responding to the fourth question, students noted that they come to school more often, have better study habits, are more open-minded, and have been able to use technology more.</w:t>
      </w:r>
    </w:p>
    <w:p w:rsidR="00F666E5" w:rsidRPr="00056E29" w:rsidRDefault="00F666E5" w:rsidP="00F666E5">
      <w:pPr>
        <w:pStyle w:val="Footer"/>
        <w:tabs>
          <w:tab w:val="clear" w:pos="4680"/>
          <w:tab w:val="clear" w:pos="9360"/>
        </w:tabs>
        <w:spacing w:line="480" w:lineRule="auto"/>
      </w:pPr>
      <w:r>
        <w:tab/>
        <w:t>Students also voiced their opinion as to how Compass can be improved, stating that it should help them more academically and have more interactive classes.</w:t>
      </w:r>
    </w:p>
    <w:sectPr w:rsidR="00F666E5" w:rsidRPr="00056E29" w:rsidSect="005C75E9">
      <w:head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B7" w:rsidRDefault="00FC66B7" w:rsidP="005143D5">
      <w:pPr>
        <w:spacing w:after="0" w:line="240" w:lineRule="auto"/>
      </w:pPr>
      <w:r>
        <w:separator/>
      </w:r>
    </w:p>
  </w:endnote>
  <w:endnote w:type="continuationSeparator" w:id="0">
    <w:p w:rsidR="00FC66B7" w:rsidRDefault="00FC66B7" w:rsidP="0051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B7" w:rsidRDefault="00FC66B7" w:rsidP="005143D5">
      <w:pPr>
        <w:spacing w:after="0" w:line="240" w:lineRule="auto"/>
      </w:pPr>
      <w:r>
        <w:separator/>
      </w:r>
    </w:p>
  </w:footnote>
  <w:footnote w:type="continuationSeparator" w:id="0">
    <w:p w:rsidR="00FC66B7" w:rsidRDefault="00FC66B7" w:rsidP="00514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1810"/>
      <w:docPartObj>
        <w:docPartGallery w:val="Page Numbers (Top of Page)"/>
        <w:docPartUnique/>
      </w:docPartObj>
    </w:sdtPr>
    <w:sdtEndPr>
      <w:rPr>
        <w:noProof/>
      </w:rPr>
    </w:sdtEndPr>
    <w:sdtContent>
      <w:p w:rsidR="005143D5" w:rsidRDefault="005143D5">
        <w:pPr>
          <w:pStyle w:val="Header"/>
          <w:jc w:val="right"/>
        </w:pPr>
        <w:r>
          <w:fldChar w:fldCharType="begin"/>
        </w:r>
        <w:r>
          <w:instrText xml:space="preserve"> PAGE   \* MERGEFORMAT </w:instrText>
        </w:r>
        <w:r>
          <w:fldChar w:fldCharType="separate"/>
        </w:r>
        <w:r w:rsidR="00ED7F51">
          <w:rPr>
            <w:noProof/>
          </w:rPr>
          <w:t>15</w:t>
        </w:r>
        <w:r>
          <w:rPr>
            <w:noProof/>
          </w:rPr>
          <w:fldChar w:fldCharType="end"/>
        </w:r>
      </w:p>
    </w:sdtContent>
  </w:sdt>
  <w:p w:rsidR="005143D5" w:rsidRDefault="00514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F727B"/>
    <w:multiLevelType w:val="hybridMultilevel"/>
    <w:tmpl w:val="9B36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F73ED"/>
    <w:multiLevelType w:val="hybridMultilevel"/>
    <w:tmpl w:val="17FC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4F8A"/>
    <w:multiLevelType w:val="hybridMultilevel"/>
    <w:tmpl w:val="4758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B564F"/>
    <w:multiLevelType w:val="hybridMultilevel"/>
    <w:tmpl w:val="D4741B9A"/>
    <w:lvl w:ilvl="0" w:tplc="0442B0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360EB"/>
    <w:multiLevelType w:val="hybridMultilevel"/>
    <w:tmpl w:val="A2A0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A292A"/>
    <w:multiLevelType w:val="hybridMultilevel"/>
    <w:tmpl w:val="CF08F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36"/>
    <w:rsid w:val="00056E29"/>
    <w:rsid w:val="00101D45"/>
    <w:rsid w:val="00111057"/>
    <w:rsid w:val="001804DA"/>
    <w:rsid w:val="001E0374"/>
    <w:rsid w:val="00214FD6"/>
    <w:rsid w:val="002D4FFA"/>
    <w:rsid w:val="003043FB"/>
    <w:rsid w:val="00351C63"/>
    <w:rsid w:val="0035680C"/>
    <w:rsid w:val="00366322"/>
    <w:rsid w:val="003D75F9"/>
    <w:rsid w:val="0041444F"/>
    <w:rsid w:val="00440501"/>
    <w:rsid w:val="00497E2B"/>
    <w:rsid w:val="00504947"/>
    <w:rsid w:val="005143D5"/>
    <w:rsid w:val="005C75E9"/>
    <w:rsid w:val="006E184F"/>
    <w:rsid w:val="006E4A86"/>
    <w:rsid w:val="00722A74"/>
    <w:rsid w:val="007639E4"/>
    <w:rsid w:val="00780987"/>
    <w:rsid w:val="007E222E"/>
    <w:rsid w:val="0080269E"/>
    <w:rsid w:val="0082313B"/>
    <w:rsid w:val="00855814"/>
    <w:rsid w:val="008573CF"/>
    <w:rsid w:val="00886536"/>
    <w:rsid w:val="009818E4"/>
    <w:rsid w:val="009A12B8"/>
    <w:rsid w:val="00A973BF"/>
    <w:rsid w:val="00B012D0"/>
    <w:rsid w:val="00B311F1"/>
    <w:rsid w:val="00C07AB7"/>
    <w:rsid w:val="00C44237"/>
    <w:rsid w:val="00C80C5E"/>
    <w:rsid w:val="00C9241E"/>
    <w:rsid w:val="00CC0265"/>
    <w:rsid w:val="00DE6654"/>
    <w:rsid w:val="00E44928"/>
    <w:rsid w:val="00E4533B"/>
    <w:rsid w:val="00E5787A"/>
    <w:rsid w:val="00ED7F51"/>
    <w:rsid w:val="00F666E5"/>
    <w:rsid w:val="00F966B5"/>
    <w:rsid w:val="00FC66B7"/>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6F6AC2-64AE-42CF-994E-C631C989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4A86"/>
    <w:pPr>
      <w:spacing w:after="200" w:line="240" w:lineRule="auto"/>
    </w:pPr>
    <w:rPr>
      <w:i/>
      <w:iCs/>
      <w:color w:val="44546A" w:themeColor="text2"/>
      <w:sz w:val="18"/>
      <w:szCs w:val="18"/>
    </w:rPr>
  </w:style>
  <w:style w:type="paragraph" w:styleId="NormalWeb">
    <w:name w:val="Normal (Web)"/>
    <w:basedOn w:val="Normal"/>
    <w:uiPriority w:val="99"/>
    <w:unhideWhenUsed/>
    <w:rsid w:val="0078098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3D75F9"/>
    <w:pPr>
      <w:ind w:left="720"/>
      <w:contextualSpacing/>
    </w:pPr>
  </w:style>
  <w:style w:type="paragraph" w:styleId="Footer">
    <w:name w:val="footer"/>
    <w:basedOn w:val="Normal"/>
    <w:link w:val="FooterChar"/>
    <w:uiPriority w:val="99"/>
    <w:unhideWhenUsed/>
    <w:rsid w:val="003D7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F9"/>
  </w:style>
  <w:style w:type="paragraph" w:styleId="Header">
    <w:name w:val="header"/>
    <w:basedOn w:val="Normal"/>
    <w:link w:val="HeaderChar"/>
    <w:uiPriority w:val="99"/>
    <w:unhideWhenUsed/>
    <w:rsid w:val="0051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2887">
      <w:bodyDiv w:val="1"/>
      <w:marLeft w:val="0"/>
      <w:marRight w:val="0"/>
      <w:marTop w:val="0"/>
      <w:marBottom w:val="0"/>
      <w:divBdr>
        <w:top w:val="none" w:sz="0" w:space="0" w:color="auto"/>
        <w:left w:val="none" w:sz="0" w:space="0" w:color="auto"/>
        <w:bottom w:val="none" w:sz="0" w:space="0" w:color="auto"/>
        <w:right w:val="none" w:sz="0" w:space="0" w:color="auto"/>
      </w:divBdr>
    </w:div>
    <w:div w:id="843980604">
      <w:bodyDiv w:val="1"/>
      <w:marLeft w:val="0"/>
      <w:marRight w:val="0"/>
      <w:marTop w:val="0"/>
      <w:marBottom w:val="0"/>
      <w:divBdr>
        <w:top w:val="none" w:sz="0" w:space="0" w:color="auto"/>
        <w:left w:val="none" w:sz="0" w:space="0" w:color="auto"/>
        <w:bottom w:val="none" w:sz="0" w:space="0" w:color="auto"/>
        <w:right w:val="none" w:sz="0" w:space="0" w:color="auto"/>
      </w:divBdr>
    </w:div>
    <w:div w:id="1061487553">
      <w:bodyDiv w:val="1"/>
      <w:marLeft w:val="0"/>
      <w:marRight w:val="0"/>
      <w:marTop w:val="0"/>
      <w:marBottom w:val="0"/>
      <w:divBdr>
        <w:top w:val="none" w:sz="0" w:space="0" w:color="auto"/>
        <w:left w:val="none" w:sz="0" w:space="0" w:color="auto"/>
        <w:bottom w:val="none" w:sz="0" w:space="0" w:color="auto"/>
        <w:right w:val="none" w:sz="0" w:space="0" w:color="auto"/>
      </w:divBdr>
    </w:div>
    <w:div w:id="19037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Kenton Elementary</c:v>
                </c:pt>
              </c:strCache>
            </c:strRef>
          </c:tx>
          <c:spPr>
            <a:ln w="28575" cap="rnd">
              <a:solidFill>
                <a:schemeClr val="accent1"/>
              </a:solidFill>
              <a:round/>
            </a:ln>
            <a:effectLst/>
          </c:spPr>
          <c:marker>
            <c:symbol val="none"/>
          </c:marker>
          <c:cat>
            <c:strRef>
              <c:f>Sheet1!$A$2:$A$9</c:f>
              <c:strCache>
                <c:ptCount val="8"/>
                <c:pt idx="0">
                  <c:v>1st Grade</c:v>
                </c:pt>
                <c:pt idx="1">
                  <c:v>2nd Grade</c:v>
                </c:pt>
                <c:pt idx="2">
                  <c:v>3rd Grade</c:v>
                </c:pt>
                <c:pt idx="3">
                  <c:v>4th Grade</c:v>
                </c:pt>
                <c:pt idx="4">
                  <c:v>5th Grade</c:v>
                </c:pt>
                <c:pt idx="5">
                  <c:v>6th Grade</c:v>
                </c:pt>
                <c:pt idx="6">
                  <c:v>7th Grade</c:v>
                </c:pt>
                <c:pt idx="7">
                  <c:v>8th Grade</c:v>
                </c:pt>
              </c:strCache>
            </c:strRef>
          </c:cat>
          <c:val>
            <c:numRef>
              <c:f>Sheet1!$B$2:$B$9</c:f>
              <c:numCache>
                <c:formatCode>0.00%</c:formatCode>
                <c:ptCount val="8"/>
                <c:pt idx="0">
                  <c:v>0.30555555555555558</c:v>
                </c:pt>
                <c:pt idx="1">
                  <c:v>0.27058823529411763</c:v>
                </c:pt>
                <c:pt idx="2">
                  <c:v>0.19565217391304349</c:v>
                </c:pt>
                <c:pt idx="3">
                  <c:v>0.18681318681318682</c:v>
                </c:pt>
                <c:pt idx="4">
                  <c:v>0.13698630136986301</c:v>
                </c:pt>
              </c:numCache>
            </c:numRef>
          </c:val>
          <c:smooth val="0"/>
          <c:extLst xmlns:c16r2="http://schemas.microsoft.com/office/drawing/2015/06/chart">
            <c:ext xmlns:c16="http://schemas.microsoft.com/office/drawing/2014/chart" uri="{C3380CC4-5D6E-409C-BE32-E72D297353CC}">
              <c16:uniqueId val="{00000000-A2B0-4141-B51F-BDB665F7BD9F}"/>
            </c:ext>
          </c:extLst>
        </c:ser>
        <c:ser>
          <c:idx val="1"/>
          <c:order val="1"/>
          <c:tx>
            <c:strRef>
              <c:f>Sheet1!$C$1</c:f>
              <c:strCache>
                <c:ptCount val="1"/>
                <c:pt idx="0">
                  <c:v>Aurora Hills</c:v>
                </c:pt>
              </c:strCache>
            </c:strRef>
          </c:tx>
          <c:spPr>
            <a:ln w="28575" cap="rnd">
              <a:solidFill>
                <a:schemeClr val="accent2"/>
              </a:solidFill>
              <a:round/>
            </a:ln>
            <a:effectLst/>
          </c:spPr>
          <c:marker>
            <c:symbol val="none"/>
          </c:marker>
          <c:cat>
            <c:strRef>
              <c:f>Sheet1!$A$2:$A$9</c:f>
              <c:strCache>
                <c:ptCount val="8"/>
                <c:pt idx="0">
                  <c:v>1st Grade</c:v>
                </c:pt>
                <c:pt idx="1">
                  <c:v>2nd Grade</c:v>
                </c:pt>
                <c:pt idx="2">
                  <c:v>3rd Grade</c:v>
                </c:pt>
                <c:pt idx="3">
                  <c:v>4th Grade</c:v>
                </c:pt>
                <c:pt idx="4">
                  <c:v>5th Grade</c:v>
                </c:pt>
                <c:pt idx="5">
                  <c:v>6th Grade</c:v>
                </c:pt>
                <c:pt idx="6">
                  <c:v>7th Grade</c:v>
                </c:pt>
                <c:pt idx="7">
                  <c:v>8th Grade</c:v>
                </c:pt>
              </c:strCache>
            </c:strRef>
          </c:cat>
          <c:val>
            <c:numRef>
              <c:f>Sheet1!$C$2:$C$9</c:f>
              <c:numCache>
                <c:formatCode>General</c:formatCode>
                <c:ptCount val="8"/>
                <c:pt idx="5" formatCode="0.00%">
                  <c:v>0.24150943396226415</c:v>
                </c:pt>
                <c:pt idx="6" formatCode="0.00%">
                  <c:v>0.13928571428571429</c:v>
                </c:pt>
                <c:pt idx="7" formatCode="0.00%">
                  <c:v>0.11721611721611722</c:v>
                </c:pt>
              </c:numCache>
            </c:numRef>
          </c:val>
          <c:smooth val="0"/>
          <c:extLst xmlns:c16r2="http://schemas.microsoft.com/office/drawing/2015/06/chart">
            <c:ext xmlns:c16="http://schemas.microsoft.com/office/drawing/2014/chart" uri="{C3380CC4-5D6E-409C-BE32-E72D297353CC}">
              <c16:uniqueId val="{00000001-A2B0-4141-B51F-BDB665F7BD9F}"/>
            </c:ext>
          </c:extLst>
        </c:ser>
        <c:dLbls>
          <c:showLegendKey val="0"/>
          <c:showVal val="0"/>
          <c:showCatName val="0"/>
          <c:showSerName val="0"/>
          <c:showPercent val="0"/>
          <c:showBubbleSize val="0"/>
        </c:dLbls>
        <c:smooth val="0"/>
        <c:axId val="320749168"/>
        <c:axId val="320749560"/>
      </c:lineChart>
      <c:catAx>
        <c:axId val="3207491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0749560"/>
        <c:crosses val="autoZero"/>
        <c:auto val="1"/>
        <c:lblAlgn val="ctr"/>
        <c:lblOffset val="100"/>
        <c:noMultiLvlLbl val="0"/>
      </c:catAx>
      <c:valAx>
        <c:axId val="320749560"/>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Enrollment Rate </a:t>
                </a:r>
              </a:p>
              <a:p>
                <a:pPr>
                  <a:defRPr/>
                </a:pPr>
                <a:endParaRPr lang="en-US"/>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0749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Kenton</c:v>
                </c:pt>
              </c:strCache>
            </c:strRef>
          </c:tx>
          <c:spPr>
            <a:ln w="28575" cap="rnd">
              <a:solidFill>
                <a:schemeClr val="accent1"/>
              </a:solidFill>
              <a:round/>
            </a:ln>
            <a:effectLst/>
          </c:spPr>
          <c:marker>
            <c:symbol val="none"/>
          </c:marker>
          <c:cat>
            <c:strRef>
              <c:f>Sheet1!$A$2:$A$4</c:f>
              <c:strCache>
                <c:ptCount val="3"/>
                <c:pt idx="0">
                  <c:v>Non-Compass</c:v>
                </c:pt>
                <c:pt idx="1">
                  <c:v>Compass (Non-Regular)</c:v>
                </c:pt>
                <c:pt idx="2">
                  <c:v>Compass (Regular)</c:v>
                </c:pt>
              </c:strCache>
            </c:strRef>
          </c:cat>
          <c:val>
            <c:numRef>
              <c:f>Sheet1!$B$2:$B$4</c:f>
              <c:numCache>
                <c:formatCode>0.00%</c:formatCode>
                <c:ptCount val="3"/>
                <c:pt idx="0">
                  <c:v>0.95440000000000003</c:v>
                </c:pt>
                <c:pt idx="1">
                  <c:v>0.95589999999999997</c:v>
                </c:pt>
                <c:pt idx="2">
                  <c:v>0.98140000000000005</c:v>
                </c:pt>
              </c:numCache>
            </c:numRef>
          </c:val>
          <c:smooth val="0"/>
          <c:extLst xmlns:c16r2="http://schemas.microsoft.com/office/drawing/2015/06/chart">
            <c:ext xmlns:c16="http://schemas.microsoft.com/office/drawing/2014/chart" uri="{C3380CC4-5D6E-409C-BE32-E72D297353CC}">
              <c16:uniqueId val="{00000000-0FE0-4025-8598-F71A44D0C074}"/>
            </c:ext>
          </c:extLst>
        </c:ser>
        <c:ser>
          <c:idx val="1"/>
          <c:order val="1"/>
          <c:tx>
            <c:strRef>
              <c:f>Sheet1!$C$1</c:f>
              <c:strCache>
                <c:ptCount val="1"/>
                <c:pt idx="0">
                  <c:v>Aurora Hills</c:v>
                </c:pt>
              </c:strCache>
            </c:strRef>
          </c:tx>
          <c:spPr>
            <a:ln w="28575" cap="rnd">
              <a:solidFill>
                <a:schemeClr val="accent2"/>
              </a:solidFill>
              <a:round/>
            </a:ln>
            <a:effectLst/>
          </c:spPr>
          <c:marker>
            <c:symbol val="none"/>
          </c:marker>
          <c:cat>
            <c:strRef>
              <c:f>Sheet1!$A$2:$A$4</c:f>
              <c:strCache>
                <c:ptCount val="3"/>
                <c:pt idx="0">
                  <c:v>Non-Compass</c:v>
                </c:pt>
                <c:pt idx="1">
                  <c:v>Compass (Non-Regular)</c:v>
                </c:pt>
                <c:pt idx="2">
                  <c:v>Compass (Regular)</c:v>
                </c:pt>
              </c:strCache>
            </c:strRef>
          </c:cat>
          <c:val>
            <c:numRef>
              <c:f>Sheet1!$C$2:$C$4</c:f>
              <c:numCache>
                <c:formatCode>General</c:formatCode>
                <c:ptCount val="3"/>
                <c:pt idx="0">
                  <c:v>0.92830000000000001</c:v>
                </c:pt>
                <c:pt idx="1">
                  <c:v>0.94789999999999996</c:v>
                </c:pt>
                <c:pt idx="2">
                  <c:v>0.96109999999999995</c:v>
                </c:pt>
              </c:numCache>
            </c:numRef>
          </c:val>
          <c:smooth val="0"/>
          <c:extLst xmlns:c16r2="http://schemas.microsoft.com/office/drawing/2015/06/chart">
            <c:ext xmlns:c16="http://schemas.microsoft.com/office/drawing/2014/chart" uri="{C3380CC4-5D6E-409C-BE32-E72D297353CC}">
              <c16:uniqueId val="{00000001-0FE0-4025-8598-F71A44D0C074}"/>
            </c:ext>
          </c:extLst>
        </c:ser>
        <c:dLbls>
          <c:showLegendKey val="0"/>
          <c:showVal val="0"/>
          <c:showCatName val="0"/>
          <c:showSerName val="0"/>
          <c:showPercent val="0"/>
          <c:showBubbleSize val="0"/>
        </c:dLbls>
        <c:smooth val="0"/>
        <c:axId val="320748384"/>
        <c:axId val="320749952"/>
      </c:lineChart>
      <c:catAx>
        <c:axId val="3207483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0749952"/>
        <c:crosses val="autoZero"/>
        <c:auto val="1"/>
        <c:lblAlgn val="ctr"/>
        <c:lblOffset val="100"/>
        <c:noMultiLvlLbl val="0"/>
      </c:catAx>
      <c:valAx>
        <c:axId val="320749952"/>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Attendance</a:t>
                </a:r>
                <a:r>
                  <a:rPr lang="en-US" baseline="0"/>
                  <a:t> Rate</a:t>
                </a:r>
              </a:p>
              <a:p>
                <a:pPr>
                  <a:defRPr/>
                </a:pPr>
                <a:endParaRPr lang="en-US"/>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0748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Kenton</c:v>
                </c:pt>
              </c:strCache>
            </c:strRef>
          </c:tx>
          <c:spPr>
            <a:ln w="28575" cap="rnd">
              <a:solidFill>
                <a:schemeClr val="accent1"/>
              </a:solidFill>
              <a:round/>
            </a:ln>
            <a:effectLst/>
          </c:spPr>
          <c:marker>
            <c:symbol val="none"/>
          </c:marker>
          <c:cat>
            <c:strRef>
              <c:f>Sheet1!$A$2:$A$4</c:f>
              <c:strCache>
                <c:ptCount val="3"/>
                <c:pt idx="0">
                  <c:v>Non-Compass</c:v>
                </c:pt>
                <c:pt idx="1">
                  <c:v>Compass (Non-Regular)</c:v>
                </c:pt>
                <c:pt idx="2">
                  <c:v>Compass (Regular)</c:v>
                </c:pt>
              </c:strCache>
            </c:strRef>
          </c:cat>
          <c:val>
            <c:numRef>
              <c:f>Sheet1!$B$2:$B$4</c:f>
              <c:numCache>
                <c:formatCode>0.00%</c:formatCode>
                <c:ptCount val="3"/>
                <c:pt idx="0">
                  <c:v>0.08</c:v>
                </c:pt>
                <c:pt idx="1">
                  <c:v>0.05</c:v>
                </c:pt>
                <c:pt idx="2">
                  <c:v>0</c:v>
                </c:pt>
              </c:numCache>
            </c:numRef>
          </c:val>
          <c:smooth val="0"/>
          <c:extLst xmlns:c16r2="http://schemas.microsoft.com/office/drawing/2015/06/chart">
            <c:ext xmlns:c16="http://schemas.microsoft.com/office/drawing/2014/chart" uri="{C3380CC4-5D6E-409C-BE32-E72D297353CC}">
              <c16:uniqueId val="{00000000-A8C8-4D9A-9755-13FD7BB46539}"/>
            </c:ext>
          </c:extLst>
        </c:ser>
        <c:ser>
          <c:idx val="1"/>
          <c:order val="1"/>
          <c:tx>
            <c:strRef>
              <c:f>Sheet1!$C$1</c:f>
              <c:strCache>
                <c:ptCount val="1"/>
                <c:pt idx="0">
                  <c:v>Aurora Hills</c:v>
                </c:pt>
              </c:strCache>
            </c:strRef>
          </c:tx>
          <c:spPr>
            <a:ln w="28575" cap="rnd">
              <a:solidFill>
                <a:schemeClr val="accent2"/>
              </a:solidFill>
              <a:round/>
            </a:ln>
            <a:effectLst/>
          </c:spPr>
          <c:marker>
            <c:symbol val="none"/>
          </c:marker>
          <c:cat>
            <c:strRef>
              <c:f>Sheet1!$A$2:$A$4</c:f>
              <c:strCache>
                <c:ptCount val="3"/>
                <c:pt idx="0">
                  <c:v>Non-Compass</c:v>
                </c:pt>
                <c:pt idx="1">
                  <c:v>Compass (Non-Regular)</c:v>
                </c:pt>
                <c:pt idx="2">
                  <c:v>Compass (Regular)</c:v>
                </c:pt>
              </c:strCache>
            </c:strRef>
          </c:cat>
          <c:val>
            <c:numRef>
              <c:f>Sheet1!$C$2:$C$4</c:f>
              <c:numCache>
                <c:formatCode>General</c:formatCode>
                <c:ptCount val="3"/>
                <c:pt idx="0">
                  <c:v>0.33</c:v>
                </c:pt>
                <c:pt idx="1">
                  <c:v>0.17</c:v>
                </c:pt>
                <c:pt idx="2">
                  <c:v>0</c:v>
                </c:pt>
              </c:numCache>
            </c:numRef>
          </c:val>
          <c:smooth val="0"/>
          <c:extLst xmlns:c16r2="http://schemas.microsoft.com/office/drawing/2015/06/chart">
            <c:ext xmlns:c16="http://schemas.microsoft.com/office/drawing/2014/chart" uri="{C3380CC4-5D6E-409C-BE32-E72D297353CC}">
              <c16:uniqueId val="{00000001-A8C8-4D9A-9755-13FD7BB46539}"/>
            </c:ext>
          </c:extLst>
        </c:ser>
        <c:dLbls>
          <c:showLegendKey val="0"/>
          <c:showVal val="0"/>
          <c:showCatName val="0"/>
          <c:showSerName val="0"/>
          <c:showPercent val="0"/>
          <c:showBubbleSize val="0"/>
        </c:dLbls>
        <c:smooth val="0"/>
        <c:axId val="321846192"/>
        <c:axId val="321841488"/>
      </c:lineChart>
      <c:catAx>
        <c:axId val="32184619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1841488"/>
        <c:crosses val="autoZero"/>
        <c:auto val="1"/>
        <c:lblAlgn val="ctr"/>
        <c:lblOffset val="100"/>
        <c:noMultiLvlLbl val="0"/>
      </c:catAx>
      <c:valAx>
        <c:axId val="321841488"/>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Percent of Referrals</a:t>
                </a:r>
              </a:p>
              <a:p>
                <a:pPr>
                  <a:defRPr/>
                </a:pPr>
                <a:endParaRPr lang="en-US"/>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1846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 Marle</dc:creator>
  <cp:keywords/>
  <dc:description/>
  <cp:lastModifiedBy>Rosa, Juliana</cp:lastModifiedBy>
  <cp:revision>2</cp:revision>
  <dcterms:created xsi:type="dcterms:W3CDTF">2019-10-28T17:09:00Z</dcterms:created>
  <dcterms:modified xsi:type="dcterms:W3CDTF">2019-10-28T17:09:00Z</dcterms:modified>
</cp:coreProperties>
</file>